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8DD" w:rsidP="00555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ICTOPN504 Test and commission a dense wavelength division multiplexing transmission system</w:t>
      </w:r>
      <w:r>
        <w:fldChar w:fldCharType="end"/>
      </w:r>
    </w:p>
    <w:p w:rsidR="005558DD" w:rsidP="005558DD">
      <w:pPr>
        <w:pStyle w:val="Version"/>
        <w:sectPr w:rsidSect="004F3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73E" w:rsidP="004F373E">
      <w:pPr>
        <w:pStyle w:val="SuperHeading"/>
      </w:pPr>
      <w:r w:rsidRPr="004F373E">
        <w:t>ICTOPN504 Test and commission a dense wavelength division multiplexing transmission system</w:t>
      </w:r>
    </w:p>
    <w:p w:rsidR="00000000" w:rsidRPr="004F373E" w:rsidP="004F373E">
      <w:pPr>
        <w:pStyle w:val="Heading1"/>
      </w:pPr>
      <w:bookmarkStart w:id="1" w:name="O_759484"/>
      <w:bookmarkEnd w:id="1"/>
      <w:r w:rsidRPr="004F3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SpecialBold"/>
              </w:rPr>
              <w:t>Comments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>This version first released with ICT Information and Communications Technology Training Package Version 2.0.</w:t>
            </w:r>
          </w:p>
        </w:tc>
      </w:tr>
    </w:tbl>
    <w:p w:rsidR="00000000" w:rsidRPr="004F373E" w:rsidP="004F373E">
      <w:pPr>
        <w:pStyle w:val="BodyText"/>
      </w:pP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2" w:name="O_759485"/>
      <w:bookmarkEnd w:id="2"/>
      <w:r w:rsidRPr="004F373E">
        <w:t>Application</w:t>
      </w:r>
    </w:p>
    <w:p w:rsidR="00000000" w:rsidRPr="004F373E" w:rsidP="005558DD">
      <w:pPr>
        <w:pStyle w:val="BodyText"/>
      </w:pPr>
      <w:r w:rsidRPr="004F373E">
        <w:t>This unit describes the skills and knowledge required to test and commission optical transmission systems using dens</w:t>
      </w:r>
      <w:r w:rsidRPr="004F373E">
        <w:t>e wavelength division multiplexing (DWDM) technology.</w:t>
      </w:r>
    </w:p>
    <w:p w:rsidR="00000000" w:rsidRPr="004F373E" w:rsidP="005558DD">
      <w:pPr>
        <w:pStyle w:val="BodyText"/>
      </w:pPr>
      <w:r w:rsidRPr="004F373E">
        <w:t>It applies to individuals who work with telecommunications carriers, service providers, public utilities and broadcasting companies. They combine technical optical communications skills with broader or</w:t>
      </w:r>
      <w:r w:rsidRPr="004F373E">
        <w:t xml:space="preserve">ganisational and administrative skills in a range of commercial contexts and environments. </w:t>
      </w:r>
    </w:p>
    <w:p w:rsidR="00000000" w:rsidRPr="004F373E" w:rsidP="005558DD">
      <w:pPr>
        <w:pStyle w:val="BodyText"/>
      </w:pPr>
      <w:r w:rsidRPr="004F373E">
        <w:t>No licensing, legislative or certification requirements apply to this unit at the time of publication.</w:t>
      </w:r>
    </w:p>
    <w:p w:rsidR="00000000" w:rsidRPr="004F373E" w:rsidP="004F373E">
      <w:pPr>
        <w:pStyle w:val="Heading1"/>
      </w:pPr>
      <w:bookmarkStart w:id="3" w:name="O_759488"/>
      <w:bookmarkEnd w:id="3"/>
      <w:r w:rsidRPr="004F373E">
        <w:t>Unit Sector</w:t>
      </w:r>
    </w:p>
    <w:p w:rsidR="00000000" w:rsidRPr="004F373E" w:rsidP="005558DD">
      <w:pPr>
        <w:pStyle w:val="BodyText"/>
      </w:pPr>
      <w:r w:rsidRPr="004F373E">
        <w:t>Telecommunications – Optical Ne</w:t>
      </w:r>
      <w:r w:rsidRPr="004F373E">
        <w:t>tworks</w:t>
      </w:r>
    </w:p>
    <w:p w:rsidR="00000000" w:rsidRPr="004F373E" w:rsidP="004F373E">
      <w:pPr>
        <w:pStyle w:val="Heading1"/>
      </w:pPr>
      <w:bookmarkStart w:id="4" w:name="O_759489"/>
      <w:bookmarkEnd w:id="4"/>
      <w:r w:rsidRPr="004F37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Element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SpecialBold"/>
              </w:rPr>
              <w:t>Performance Criteria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Emphasis"/>
              </w:rPr>
              <w:t>Elements describe the essential outcomes.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 xml:space="preserve">1. Prepare to commission DWDM transmission </w:t>
            </w:r>
            <w:r w:rsidRPr="004F373E">
              <w:t>system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 xml:space="preserve">1.1 Implement hazard risk control measures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1.2 Review system specifications and technical data by identifying system operating parameters  </w:t>
            </w:r>
          </w:p>
          <w:p w:rsidR="00000000" w:rsidRPr="004F373E" w:rsidP="004F373E">
            <w:pPr>
              <w:pStyle w:val="BodyText"/>
            </w:pPr>
            <w:r w:rsidRPr="004F373E">
              <w:t>1.3 Obtain and check tools and test equipment needed for the wor</w:t>
            </w:r>
            <w:r w:rsidRPr="004F373E">
              <w:t xml:space="preserve">k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1.4 Verify all necessary equipment is installed, and circuit cards and filler cards are correctly located and seated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1.5 Check interconnecting fibres to optical multiplexers and shelves are intact and correctly routed  </w:t>
            </w:r>
          </w:p>
          <w:p w:rsidR="00000000" w:rsidRPr="004F373E" w:rsidP="004F373E">
            <w:pPr>
              <w:pStyle w:val="BodyText"/>
            </w:pPr>
            <w:r w:rsidRPr="004F373E">
              <w:t>1.6 Establish communication be</w:t>
            </w:r>
            <w:r w:rsidRPr="004F373E">
              <w:t xml:space="preserve">tween computer and DWDM shelf   </w:t>
            </w:r>
          </w:p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 xml:space="preserve">1.7 Upload latest software release to each DWDM shelf in the network 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2. Commission DWDM transmission system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>2.1 Connect an optical test set and a physical optical loopback to the system, and select protocol compatible wi</w:t>
            </w:r>
            <w:r w:rsidRPr="004F373E">
              <w:t xml:space="preserve">th DWDM hardware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2.2  Check connection status and that test set data is passing correctly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2.3 Monitor quality of received signal by setting performance monitoring (PM) features and retrieve PM counts  </w:t>
            </w:r>
          </w:p>
          <w:p w:rsidR="00000000" w:rsidRPr="004F373E" w:rsidP="004F373E">
            <w:pPr>
              <w:pStyle w:val="BodyText"/>
            </w:pPr>
            <w:r w:rsidRPr="004F373E">
              <w:t>2.4 Verify no errors are counted by the test set d</w:t>
            </w:r>
            <w:r w:rsidRPr="004F373E">
              <w:t xml:space="preserve">uring a long term stability test while customer input signal is set to the worst case (minimum) power level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2.5 Verify no alarms are generated during long term stability test period  </w:t>
            </w:r>
          </w:p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 xml:space="preserve">2.6 Dispose of antistatic packaging to minimise environmental impact 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3. Complete test and commissioning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 xml:space="preserve">3.1 Finalise documentation on commissioning test results  </w:t>
            </w:r>
          </w:p>
          <w:p w:rsidR="00000000" w:rsidRPr="004F373E" w:rsidP="004F373E">
            <w:pPr>
              <w:pStyle w:val="BodyText"/>
            </w:pPr>
            <w:r w:rsidRPr="004F373E">
              <w:t xml:space="preserve">3.2 Present results to appropriate person according to established procedures    </w:t>
            </w:r>
          </w:p>
        </w:tc>
      </w:tr>
    </w:tbl>
    <w:p w:rsidR="00000000" w:rsidRPr="004F373E" w:rsidP="004F373E">
      <w:pPr>
        <w:pStyle w:val="BodyText"/>
      </w:pP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5" w:name="O_759490"/>
      <w:bookmarkEnd w:id="5"/>
      <w:r w:rsidRPr="004F373E">
        <w:t>Foundation Skills</w:t>
      </w:r>
    </w:p>
    <w:p w:rsidR="00000000" w:rsidRPr="005558DD" w:rsidP="005558DD">
      <w:pPr>
        <w:pStyle w:val="BodyText"/>
        <w:rPr>
          <w:i/>
        </w:rPr>
      </w:pPr>
      <w:r w:rsidRPr="005558DD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936"/>
        <w:gridCol w:w="5335"/>
      </w:tblGrid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Skill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SpecialBold"/>
              </w:rPr>
              <w:t>Description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Reading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1.2, 3.2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ListBullet"/>
              <w:rPr>
                <w:lang w:val="en-NZ"/>
              </w:rPr>
            </w:pPr>
            <w:r w:rsidRPr="004F373E">
              <w:t>Interprets textual information from relevant sources to identify and plan for all job requirements and adhere to procedures and standards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Writing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3.1, 3.2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ListBullet"/>
              <w:rPr>
                <w:lang w:val="en-NZ"/>
              </w:rPr>
            </w:pPr>
            <w:r w:rsidRPr="004F373E">
              <w:t>Accurately completes relevant reports and documentation using clear and technically specific langua</w:t>
            </w:r>
            <w:r w:rsidRPr="004F373E">
              <w:t xml:space="preserve">ge and numerical data 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Oral Communication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3.2, 3.2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ListBullet"/>
              <w:rPr>
                <w:lang w:val="en-NZ"/>
              </w:rPr>
            </w:pPr>
            <w:r w:rsidRPr="004F373E">
              <w:t xml:space="preserve">Uses listening and questioning skills to confirm understanding for requirements, participates in a verbal exchange of ideas and solutions, and uses </w:t>
            </w:r>
            <w:r w:rsidRPr="004F373E">
              <w:t>appropriate, detailed and clear language to address ke</w:t>
            </w:r>
            <w:r w:rsidRPr="004F373E">
              <w:t xml:space="preserve">y personnel and clients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Numeracy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1.2, 2.3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ListBullet"/>
              <w:rPr>
                <w:lang w:val="en-NZ"/>
              </w:rPr>
            </w:pPr>
            <w:r w:rsidRPr="004F373E">
              <w:t xml:space="preserve">Uses mathematical equations to evaluate technical data and interpret results 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Navigate the world of work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2.6, 3.2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ListBullet"/>
              <w:rPr>
                <w:lang w:val="en-NZ"/>
              </w:rPr>
            </w:pPr>
            <w:r w:rsidRPr="004F373E">
              <w:t xml:space="preserve">Takes full responsibility for following policies, procedures and legislative requirements, and </w:t>
            </w:r>
            <w:r w:rsidRPr="004F373E">
              <w:t>identifies organisational implications of new legislation or regulation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Get the work done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1.1, 1.3-1.7, 2.1-2.6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ListBullet"/>
            </w:pPr>
            <w:r w:rsidRPr="004F373E">
              <w:t>Accepts responsibility for planning and sequencing complex tasks and workload, negotiating key aspects with others taking into account capabil</w:t>
            </w:r>
            <w:r w:rsidRPr="004F373E">
              <w:t>ities, efficiencies and effectiveness</w:t>
            </w:r>
          </w:p>
          <w:p w:rsidR="00000000" w:rsidRPr="004F373E" w:rsidP="004F373E">
            <w:pPr>
              <w:pStyle w:val="ListBullet"/>
            </w:pPr>
            <w:r w:rsidRPr="004F373E">
              <w:t>Monitors progress of plans and schedules and reviews and changes them to meet new demands and priorities</w:t>
            </w:r>
          </w:p>
        </w:tc>
      </w:tr>
    </w:tbl>
    <w:p w:rsidR="00000000" w:rsidRPr="004F373E" w:rsidP="004F373E">
      <w:pPr>
        <w:pStyle w:val="BodyText"/>
      </w:pP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6" w:name="O_759492"/>
      <w:bookmarkEnd w:id="6"/>
      <w:r w:rsidRPr="004F37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 xml:space="preserve">Code and title </w:t>
            </w:r>
          </w:p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Code and title</w:t>
            </w:r>
          </w:p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SpecialBold"/>
              </w:rPr>
              <w:t>Equivalence status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 xml:space="preserve">ICTOPN504 Test and commission a dense wavelength division multiplexing transmission system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 xml:space="preserve">ICTOPN5121A Test and commission a dense wavelength division multiplexing transmission system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Updated to meet standards for Trai</w:t>
            </w:r>
            <w:r w:rsidRPr="004F373E">
              <w:t>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>Equivalent unit</w:t>
            </w:r>
          </w:p>
        </w:tc>
      </w:tr>
    </w:tbl>
    <w:p w:rsidR="00000000" w:rsidRPr="004F373E" w:rsidP="004F373E">
      <w:pPr>
        <w:pStyle w:val="BodyText"/>
      </w:pP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7" w:name="O_759499"/>
      <w:bookmarkEnd w:id="7"/>
      <w:r w:rsidRPr="004F373E">
        <w:t>Links</w:t>
      </w:r>
    </w:p>
    <w:p w:rsidR="00000000" w:rsidRPr="004F373E" w:rsidP="005558DD">
      <w:pPr>
        <w:pStyle w:val="BodyText"/>
      </w:pPr>
      <w:r w:rsidRPr="004F3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42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373E" w:rsidP="005558DD">
      <w:pPr>
        <w:pStyle w:val="BodyText"/>
        <w:sectPr w:rsidSect="004F37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73E" w:rsidP="004F373E">
      <w:pPr>
        <w:pStyle w:val="SuperHeading"/>
      </w:pPr>
      <w:r w:rsidRPr="004F373E">
        <w:t>Assessment Requirements for ICTOPN504 Test and commission a dense wavelength division multiplexing transmission system</w:t>
      </w:r>
    </w:p>
    <w:p w:rsidR="00000000" w:rsidRPr="004F373E" w:rsidP="004F373E">
      <w:pPr>
        <w:pStyle w:val="Heading1"/>
      </w:pPr>
      <w:bookmarkStart w:id="8" w:name="O_759494"/>
      <w:bookmarkEnd w:id="8"/>
      <w:r w:rsidRPr="004F3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rPr>
                <w:rStyle w:val="SpecialBold"/>
              </w:rPr>
              <w:t>Comments</w:t>
            </w:r>
          </w:p>
        </w:tc>
      </w:tr>
      <w:tr w:rsidTr="004F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3E">
            <w:pPr>
              <w:pStyle w:val="BodyText"/>
              <w:rPr>
                <w:lang w:val="en-NZ"/>
              </w:rPr>
            </w:pPr>
            <w:r w:rsidRPr="004F373E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3E" w:rsidP="004F373E">
            <w:pPr>
              <w:pStyle w:val="BodyText"/>
            </w:pPr>
            <w:r w:rsidRPr="004F373E">
              <w:t>This version first released with ICT Information and Communications Tec</w:t>
            </w:r>
            <w:r w:rsidRPr="004F373E">
              <w:t>hnology Training Package Version 2.0.</w:t>
            </w:r>
          </w:p>
        </w:tc>
      </w:tr>
    </w:tbl>
    <w:p w:rsidR="00000000" w:rsidRPr="004F373E" w:rsidP="004F373E">
      <w:pPr>
        <w:pStyle w:val="BodyText"/>
      </w:pP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9" w:name="O_759495"/>
      <w:bookmarkEnd w:id="9"/>
      <w:r w:rsidRPr="004F373E">
        <w:t>Performance Evidence</w:t>
      </w:r>
    </w:p>
    <w:p w:rsidR="00000000" w:rsidRPr="004F373E" w:rsidP="005558DD">
      <w:pPr>
        <w:pStyle w:val="BodyText"/>
      </w:pPr>
      <w:r w:rsidRPr="004F373E">
        <w:t>Evidence of ability to:</w:t>
      </w:r>
    </w:p>
    <w:p w:rsidR="00000000" w:rsidRPr="004F373E" w:rsidP="004F373E">
      <w:pPr>
        <w:pStyle w:val="ListBullet"/>
      </w:pPr>
      <w:r w:rsidRPr="004F373E">
        <w:t xml:space="preserve">plan and coordinate commissioning </w:t>
      </w:r>
    </w:p>
    <w:p w:rsidR="00000000" w:rsidRPr="004F373E" w:rsidP="004F373E">
      <w:pPr>
        <w:pStyle w:val="ListBullet"/>
      </w:pPr>
      <w:r w:rsidRPr="004F373E">
        <w:t>test and commission dense wavelength division multiplexing (DWDM) transmission system</w:t>
      </w:r>
    </w:p>
    <w:p w:rsidR="00000000" w:rsidRPr="004F373E" w:rsidP="004F373E">
      <w:pPr>
        <w:pStyle w:val="ListBullet"/>
      </w:pPr>
      <w:r w:rsidRPr="004F373E">
        <w:t>complete commissioning documentation.</w:t>
      </w:r>
    </w:p>
    <w:p w:rsidR="00000000" w:rsidRPr="004F373E" w:rsidP="004F373E">
      <w:pPr>
        <w:pStyle w:val="BodyText"/>
      </w:pPr>
    </w:p>
    <w:p w:rsidR="00000000" w:rsidRPr="004F373E" w:rsidP="005558DD">
      <w:pPr>
        <w:pStyle w:val="BodyText"/>
      </w:pPr>
      <w:r w:rsidRPr="004F373E">
        <w:t>Note: If a specific volume or frequency is not stated, then evidence must be provided at least once.</w:t>
      </w:r>
    </w:p>
    <w:p w:rsidR="00000000" w:rsidRPr="004F373E" w:rsidP="004F373E">
      <w:pPr>
        <w:pStyle w:val="Heading1"/>
      </w:pPr>
      <w:bookmarkStart w:id="10" w:name="O_759496"/>
      <w:bookmarkEnd w:id="10"/>
      <w:r w:rsidRPr="004F373E">
        <w:t>Knowledge Evidence</w:t>
      </w:r>
    </w:p>
    <w:p w:rsidR="00000000" w:rsidRPr="004F373E" w:rsidP="005558DD">
      <w:pPr>
        <w:pStyle w:val="BodyText"/>
      </w:pPr>
      <w:r w:rsidRPr="004F373E">
        <w:t xml:space="preserve">To complete the unit requirements safely and effectively, the individual must: </w:t>
      </w:r>
    </w:p>
    <w:p w:rsidR="00000000" w:rsidRPr="004F373E" w:rsidP="004F373E">
      <w:pPr>
        <w:pStyle w:val="ListBullet"/>
      </w:pPr>
      <w:r w:rsidRPr="004F373E">
        <w:t xml:space="preserve">explain possible causes of alarms in long term stability test  </w:t>
      </w:r>
    </w:p>
    <w:p w:rsidR="00000000" w:rsidRPr="004F373E" w:rsidP="004F373E">
      <w:pPr>
        <w:pStyle w:val="ListBullet"/>
      </w:pPr>
      <w:r w:rsidRPr="004F373E">
        <w:t xml:space="preserve">summarise principles of operation of DWDM </w:t>
      </w:r>
    </w:p>
    <w:p w:rsidR="00000000" w:rsidRPr="004F373E" w:rsidP="004F373E">
      <w:pPr>
        <w:pStyle w:val="ListBullet"/>
      </w:pPr>
      <w:r w:rsidRPr="004F373E">
        <w:t>explain standard electrostatic discharge precautions</w:t>
      </w:r>
    </w:p>
    <w:p w:rsidR="00000000" w:rsidRPr="004F373E" w:rsidP="004F373E">
      <w:pPr>
        <w:pStyle w:val="ListBullet"/>
      </w:pPr>
      <w:r w:rsidRPr="004F373E">
        <w:t>outline features and operating requirements of test equipment including:</w:t>
      </w:r>
    </w:p>
    <w:p w:rsidR="00000000" w:rsidRPr="004F373E" w:rsidP="004F373E">
      <w:pPr>
        <w:pStyle w:val="ListBullet2"/>
      </w:pPr>
      <w:r w:rsidRPr="004F373E">
        <w:t>a hand-held optical p</w:t>
      </w:r>
      <w:r w:rsidRPr="004F373E">
        <w:t>ower meter</w:t>
      </w:r>
    </w:p>
    <w:p w:rsidR="00000000" w:rsidRPr="004F373E" w:rsidP="004F373E">
      <w:pPr>
        <w:pStyle w:val="ListBullet2"/>
      </w:pPr>
      <w:r w:rsidRPr="004F373E">
        <w:t xml:space="preserve">a transmission test set </w:t>
      </w:r>
    </w:p>
    <w:p w:rsidR="00000000" w:rsidRPr="004F373E" w:rsidP="004F373E">
      <w:pPr>
        <w:pStyle w:val="ListBullet2"/>
      </w:pPr>
      <w:r w:rsidRPr="004F373E">
        <w:t>an optical spectrum analyser</w:t>
      </w:r>
    </w:p>
    <w:p w:rsidR="00000000" w:rsidRPr="004F373E" w:rsidP="004F373E">
      <w:pPr>
        <w:pStyle w:val="ListBullet"/>
      </w:pPr>
      <w:r w:rsidRPr="004F373E">
        <w:t>describe functions of an optical add drop multiplexer</w:t>
      </w:r>
    </w:p>
    <w:p w:rsidR="00000000" w:rsidRPr="004F373E" w:rsidP="004F373E">
      <w:pPr>
        <w:pStyle w:val="ListBullet"/>
      </w:pPr>
      <w:r w:rsidRPr="004F373E">
        <w:t>explain how to set up the following:</w:t>
      </w:r>
    </w:p>
    <w:p w:rsidR="00000000" w:rsidRPr="004F373E" w:rsidP="004F373E">
      <w:pPr>
        <w:pStyle w:val="ListBullet2"/>
      </w:pPr>
      <w:r w:rsidRPr="004F373E">
        <w:t>internet protocol (IP) addressing</w:t>
      </w:r>
    </w:p>
    <w:p w:rsidR="00000000" w:rsidRPr="004F373E" w:rsidP="004F373E">
      <w:pPr>
        <w:pStyle w:val="ListBullet2"/>
      </w:pPr>
      <w:r w:rsidRPr="004F373E">
        <w:t>subnet mask</w:t>
      </w:r>
    </w:p>
    <w:p w:rsidR="00000000" w:rsidRPr="004F373E" w:rsidP="004F373E">
      <w:pPr>
        <w:pStyle w:val="ListBullet2"/>
      </w:pPr>
      <w:r w:rsidRPr="004F373E">
        <w:t xml:space="preserve">dynamic host configuration protocol (DHCP)  </w:t>
      </w:r>
    </w:p>
    <w:p w:rsidR="00000000" w:rsidRPr="004F373E" w:rsidP="004F373E">
      <w:pPr>
        <w:pStyle w:val="ListBullet2"/>
      </w:pPr>
      <w:r w:rsidRPr="004F373E">
        <w:t>default</w:t>
      </w:r>
      <w:r w:rsidRPr="004F373E">
        <w:t xml:space="preserve"> gateway</w:t>
      </w:r>
    </w:p>
    <w:p w:rsidR="00000000" w:rsidRPr="004F373E" w:rsidP="004F373E">
      <w:pPr>
        <w:pStyle w:val="ListBullet"/>
      </w:pPr>
      <w:r w:rsidRPr="004F373E">
        <w:t>summarise the International Telecommunications Union (ITU) wavelength grid for DWDM</w:t>
      </w:r>
    </w:p>
    <w:p w:rsidR="00000000" w:rsidRPr="004F373E" w:rsidP="004F373E">
      <w:pPr>
        <w:pStyle w:val="ListBullet"/>
      </w:pPr>
      <w:r w:rsidRPr="004F373E">
        <w:t>identify optical fibre connector types and characteristics</w:t>
      </w:r>
    </w:p>
    <w:p w:rsidR="00000000" w:rsidRPr="004F373E" w:rsidP="004F373E">
      <w:pPr>
        <w:pStyle w:val="ListBullet"/>
      </w:pPr>
      <w:r w:rsidRPr="004F373E">
        <w:t>identify optical fibre types and characteristics</w:t>
      </w:r>
    </w:p>
    <w:p w:rsidR="00000000" w:rsidRPr="004F373E" w:rsidP="004F373E">
      <w:pPr>
        <w:pStyle w:val="ListBullet"/>
      </w:pPr>
      <w:r w:rsidRPr="004F373E">
        <w:t>explain path protection and protection switching</w:t>
      </w:r>
    </w:p>
    <w:p w:rsidR="00000000" w:rsidRPr="004F373E" w:rsidP="004F373E">
      <w:pPr>
        <w:pStyle w:val="ListBullet"/>
      </w:pPr>
      <w:r w:rsidRPr="004F373E">
        <w:t>summarise physical optical loopbacks and software loopbacks</w:t>
      </w:r>
    </w:p>
    <w:p w:rsidR="00000000" w:rsidRPr="004F373E" w:rsidP="004F373E">
      <w:pPr>
        <w:pStyle w:val="ListBullet"/>
      </w:pPr>
      <w:r w:rsidRPr="004F373E">
        <w:t>describe protocols used on optical DWDM systems</w:t>
      </w:r>
    </w:p>
    <w:p w:rsidR="00000000" w:rsidRPr="004F373E" w:rsidP="004F373E">
      <w:pPr>
        <w:pStyle w:val="ListBullet"/>
      </w:pPr>
      <w:r w:rsidRPr="004F373E">
        <w:t>summarise ring topologies and linear network topologies</w:t>
      </w:r>
    </w:p>
    <w:p w:rsidR="00000000" w:rsidRPr="004F373E" w:rsidP="004F373E">
      <w:pPr>
        <w:pStyle w:val="ListBullet"/>
      </w:pPr>
      <w:r w:rsidRPr="004F373E">
        <w:t>outline specific health and safety requirements that impact the safe inspection of optical c</w:t>
      </w:r>
      <w:r w:rsidRPr="004F373E">
        <w:t>onnectors and the safe measurement of optical power from laser transmission systems.</w:t>
      </w:r>
    </w:p>
    <w:p w:rsidR="00000000" w:rsidRPr="004F373E" w:rsidP="004F373E">
      <w:pPr>
        <w:pStyle w:val="AllowPageBreak"/>
      </w:pPr>
    </w:p>
    <w:p w:rsidR="00000000" w:rsidRPr="004F373E" w:rsidP="004F373E">
      <w:pPr>
        <w:pStyle w:val="Heading1"/>
      </w:pPr>
      <w:bookmarkStart w:id="11" w:name="O_759497"/>
      <w:bookmarkEnd w:id="11"/>
      <w:r w:rsidRPr="004F373E">
        <w:t>Assessment Conditions</w:t>
      </w:r>
    </w:p>
    <w:p w:rsidR="00000000" w:rsidRPr="004F373E" w:rsidP="005558DD">
      <w:pPr>
        <w:pStyle w:val="BodyText"/>
      </w:pPr>
      <w:r w:rsidRPr="004F373E">
        <w:t>Gather evidence to demonstrate consistent performance in conditions that are safe and replicate the workplace. Noise levels, product</w:t>
      </w:r>
      <w:r w:rsidRPr="004F373E">
        <w:t>ion flow, interruptions and time variances must be typical of those experienced in the Telecommunications – Optical Networks field of work and include access to:</w:t>
      </w:r>
    </w:p>
    <w:p w:rsidR="00000000" w:rsidRPr="004F373E" w:rsidP="004F373E">
      <w:pPr>
        <w:pStyle w:val="ListBullet"/>
      </w:pPr>
      <w:r w:rsidRPr="004F373E">
        <w:t>test equipment currently used in industry</w:t>
      </w:r>
    </w:p>
    <w:p w:rsidR="00000000" w:rsidRPr="004F373E" w:rsidP="004F373E">
      <w:pPr>
        <w:pStyle w:val="ListBullet"/>
      </w:pPr>
      <w:r w:rsidRPr="004F373E">
        <w:t>manufacturer’s technical documentation.</w:t>
      </w:r>
    </w:p>
    <w:p w:rsidR="00000000" w:rsidRPr="004F373E" w:rsidP="004F373E">
      <w:pPr>
        <w:pStyle w:val="BodyText"/>
      </w:pPr>
      <w:r w:rsidRPr="004F373E">
        <w:t xml:space="preserve"> </w:t>
      </w:r>
    </w:p>
    <w:p w:rsidR="00000000" w:rsidRPr="004F373E" w:rsidP="005558DD">
      <w:pPr>
        <w:pStyle w:val="BodyText"/>
      </w:pPr>
      <w:r w:rsidRPr="004F373E">
        <w:t>Assessors of this unit must satisfy the requirements for assessors in applicable vocational education and training legislation, frameworks and/or standards.</w:t>
      </w:r>
    </w:p>
    <w:p w:rsidR="00000000" w:rsidRPr="004F373E" w:rsidP="004F373E">
      <w:pPr>
        <w:pStyle w:val="Heading1"/>
      </w:pPr>
      <w:bookmarkStart w:id="12" w:name="O_759500"/>
      <w:bookmarkEnd w:id="12"/>
      <w:r w:rsidRPr="004F373E">
        <w:t>Links</w:t>
      </w:r>
    </w:p>
    <w:p w:rsidR="00000000" w:rsidRPr="004F373E" w:rsidP="005558DD">
      <w:pPr>
        <w:pStyle w:val="BodyText"/>
      </w:pPr>
      <w:r w:rsidRPr="004F3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42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373E" w:rsidP="004F373E"/>
    <w:sectPr w:rsidSect="004F37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 w:rsidRPr="005558DD" w:rsidP="00555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D" w:rsidP="004F3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8DD" w:rsidP="004F3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58DD" w:rsidP="004F37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 w:rsidP="004F3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58DD">
      <w:t>Approved</w:t>
    </w:r>
    <w:r w:rsidR="005558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58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58DD">
      <w:rPr>
        <w:noProof/>
      </w:rPr>
      <w:t>4</w:t>
    </w:r>
    <w:r>
      <w:rPr>
        <w:noProof/>
      </w:rPr>
      <w:fldChar w:fldCharType="end"/>
    </w:r>
  </w:p>
  <w:p w:rsidR="004F373E" w:rsidP="004F3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58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58DD">
      <w:t>Future Skills Organisation</w:t>
    </w:r>
    <w:r w:rsidR="005558DD">
      <w:fldChar w:fldCharType="end"/>
    </w:r>
  </w:p>
  <w:p w:rsidR="004F373E" w:rsidP="004F3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73E" w:rsidRPr="005558DD" w:rsidP="00555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D" w:rsidRPr="002D2AF8" w:rsidP="004F3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ICTOPN504 Test and commission a dense wavelength division multiplexing transmission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58DD" w:rsidP="004F37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3E" w:rsidRPr="002D2AF8" w:rsidP="004F3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58DD">
      <w:t>ICTOPN504 Test and commission a dense wavelength division multiplexing transmission system</w:t>
    </w:r>
    <w:r w:rsidR="005558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58DD">
      <w:rPr>
        <w:noProof/>
      </w:rPr>
      <w:t>2 March 2025</w:t>
    </w:r>
    <w:r>
      <w:fldChar w:fldCharType="end"/>
    </w:r>
  </w:p>
  <w:p w:rsidR="004F373E" w:rsidP="004F3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07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AF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CE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73E"/>
  </w:style>
  <w:style w:type="character" w:customStyle="1" w:styleId="Heading1Char">
    <w:name w:val="Heading 1 Char"/>
    <w:basedOn w:val="DefaultParagraphFont"/>
    <w:link w:val="Heading1"/>
    <w:rsid w:val="004F3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7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73E"/>
    <w:rPr>
      <w:b/>
      <w:spacing w:val="0"/>
    </w:rPr>
  </w:style>
  <w:style w:type="paragraph" w:styleId="ListBullet2">
    <w:name w:val="List Bullet 2"/>
    <w:basedOn w:val="List2"/>
    <w:rsid w:val="004F37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373E"/>
    <w:rPr>
      <w:i/>
    </w:rPr>
  </w:style>
  <w:style w:type="paragraph" w:customStyle="1" w:styleId="SuperHeading">
    <w:name w:val="SuperHeading"/>
    <w:basedOn w:val="Normal"/>
    <w:rsid w:val="004F3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73E"/>
  </w:style>
  <w:style w:type="paragraph" w:styleId="TableofFigures">
    <w:name w:val="table of figures"/>
    <w:basedOn w:val="Normal"/>
    <w:next w:val="Normal"/>
    <w:semiHidden/>
    <w:rsid w:val="004F3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73E"/>
    <w:rPr>
      <w:rFonts w:ascii="Wingdings" w:hAnsi="Wingdings"/>
    </w:rPr>
  </w:style>
  <w:style w:type="paragraph" w:customStyle="1" w:styleId="TableHeading">
    <w:name w:val="Table Heading"/>
    <w:basedOn w:val="HeadingBase"/>
    <w:rsid w:val="004F3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73E"/>
    <w:rPr>
      <w:color w:val="0033CC"/>
      <w:u w:val="none"/>
    </w:rPr>
  </w:style>
  <w:style w:type="paragraph" w:customStyle="1" w:styleId="BodyTextRight">
    <w:name w:val="Body Text Right"/>
    <w:basedOn w:val="BodyText"/>
    <w:rsid w:val="004F3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73E"/>
    <w:rPr>
      <w:sz w:val="32"/>
    </w:rPr>
  </w:style>
  <w:style w:type="paragraph" w:customStyle="1" w:styleId="HeadingProcedure">
    <w:name w:val="Heading Procedure"/>
    <w:basedOn w:val="HeadingBase"/>
    <w:next w:val="Normal"/>
    <w:rsid w:val="004F3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73E"/>
    <w:pPr>
      <w:spacing w:before="60" w:after="60"/>
    </w:pPr>
  </w:style>
  <w:style w:type="paragraph" w:styleId="ListContinue">
    <w:name w:val="List Continue"/>
    <w:basedOn w:val="List"/>
    <w:rsid w:val="004F373E"/>
    <w:pPr>
      <w:ind w:firstLine="0"/>
    </w:pPr>
  </w:style>
  <w:style w:type="paragraph" w:customStyle="1" w:styleId="ListNote">
    <w:name w:val="List Note"/>
    <w:basedOn w:val="List"/>
    <w:rsid w:val="004F3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73E"/>
    <w:rPr>
      <w:rFonts w:ascii="Courier New" w:hAnsi="Courier New"/>
    </w:rPr>
  </w:style>
  <w:style w:type="paragraph" w:customStyle="1" w:styleId="NoteBullet">
    <w:name w:val="Note Bullet"/>
    <w:basedOn w:val="Note"/>
    <w:rsid w:val="004F3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73E"/>
    <w:rPr>
      <w:b/>
      <w:smallCaps/>
    </w:rPr>
  </w:style>
  <w:style w:type="paragraph" w:customStyle="1" w:styleId="TableListNumber">
    <w:name w:val="Table List Number"/>
    <w:basedOn w:val="ListNumber"/>
    <w:rsid w:val="004F3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73E"/>
    <w:pPr>
      <w:numPr>
        <w:numId w:val="9"/>
      </w:numPr>
    </w:pPr>
  </w:style>
  <w:style w:type="paragraph" w:customStyle="1" w:styleId="ListAlpha2">
    <w:name w:val="List Alpha 2"/>
    <w:basedOn w:val="List2"/>
    <w:rsid w:val="004F373E"/>
    <w:pPr>
      <w:numPr>
        <w:numId w:val="8"/>
      </w:numPr>
    </w:pPr>
  </w:style>
  <w:style w:type="paragraph" w:styleId="List2">
    <w:name w:val="List 2"/>
    <w:basedOn w:val="BodyText"/>
    <w:rsid w:val="004F3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73E"/>
    <w:pPr>
      <w:numPr>
        <w:numId w:val="4"/>
      </w:numPr>
    </w:pPr>
  </w:style>
  <w:style w:type="paragraph" w:styleId="ListContinue2">
    <w:name w:val="List Continue 2"/>
    <w:basedOn w:val="List2"/>
    <w:rsid w:val="004F373E"/>
    <w:pPr>
      <w:ind w:firstLine="0"/>
    </w:pPr>
  </w:style>
  <w:style w:type="paragraph" w:styleId="ListContinue3">
    <w:name w:val="List Continue 3"/>
    <w:basedOn w:val="List3"/>
    <w:rsid w:val="004F373E"/>
    <w:pPr>
      <w:ind w:left="1021" w:firstLine="0"/>
    </w:pPr>
  </w:style>
  <w:style w:type="paragraph" w:styleId="ListContinue4">
    <w:name w:val="List Continue 4"/>
    <w:basedOn w:val="List4"/>
    <w:rsid w:val="004F373E"/>
    <w:pPr>
      <w:ind w:firstLine="0"/>
    </w:pPr>
  </w:style>
  <w:style w:type="paragraph" w:styleId="ListContinue5">
    <w:name w:val="List Continue 5"/>
    <w:basedOn w:val="List5"/>
    <w:rsid w:val="004F373E"/>
    <w:pPr>
      <w:ind w:firstLine="0"/>
    </w:pPr>
  </w:style>
  <w:style w:type="paragraph" w:styleId="ListNumber3">
    <w:name w:val="List Number 3"/>
    <w:basedOn w:val="List3"/>
    <w:rsid w:val="004F373E"/>
    <w:pPr>
      <w:numPr>
        <w:numId w:val="5"/>
      </w:numPr>
    </w:pPr>
  </w:style>
  <w:style w:type="paragraph" w:styleId="ListNumber4">
    <w:name w:val="List Number 4"/>
    <w:basedOn w:val="List4"/>
    <w:rsid w:val="004F373E"/>
    <w:pPr>
      <w:numPr>
        <w:numId w:val="6"/>
      </w:numPr>
    </w:pPr>
  </w:style>
  <w:style w:type="paragraph" w:styleId="ListNumber5">
    <w:name w:val="List Number 5"/>
    <w:basedOn w:val="List5"/>
    <w:rsid w:val="004F373E"/>
    <w:pPr>
      <w:numPr>
        <w:numId w:val="7"/>
      </w:numPr>
    </w:pPr>
  </w:style>
  <w:style w:type="paragraph" w:styleId="BlockText">
    <w:name w:val="Block Text"/>
    <w:basedOn w:val="Normal"/>
    <w:rsid w:val="004F3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73E"/>
    <w:rPr>
      <w:sz w:val="16"/>
      <w:vertAlign w:val="superscript"/>
    </w:rPr>
  </w:style>
  <w:style w:type="character" w:customStyle="1" w:styleId="Symbols">
    <w:name w:val="Symbols"/>
    <w:basedOn w:val="DefaultParagraphFont"/>
    <w:rsid w:val="004F373E"/>
    <w:rPr>
      <w:rFonts w:ascii="Symbol" w:hAnsi="Symbol"/>
    </w:rPr>
  </w:style>
  <w:style w:type="character" w:customStyle="1" w:styleId="MenuOptions">
    <w:name w:val="Menu Options"/>
    <w:basedOn w:val="DefaultParagraphFont"/>
    <w:rsid w:val="004F3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73E"/>
    <w:rPr>
      <w:b/>
    </w:rPr>
  </w:style>
  <w:style w:type="character" w:customStyle="1" w:styleId="Underlined">
    <w:name w:val="Underlined"/>
    <w:basedOn w:val="DefaultParagraphFont"/>
    <w:rsid w:val="004F373E"/>
    <w:rPr>
      <w:u w:val="single"/>
    </w:rPr>
  </w:style>
  <w:style w:type="paragraph" w:customStyle="1" w:styleId="TableBodyTextRight">
    <w:name w:val="Table Body Text Right"/>
    <w:basedOn w:val="TableBodyText"/>
    <w:rsid w:val="004F3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73E"/>
    <w:rPr>
      <w:sz w:val="18"/>
    </w:rPr>
  </w:style>
  <w:style w:type="paragraph" w:customStyle="1" w:styleId="BodySmallRight">
    <w:name w:val="Body Small Right"/>
    <w:basedOn w:val="BodyTextRight"/>
    <w:rsid w:val="004F373E"/>
    <w:rPr>
      <w:sz w:val="18"/>
      <w:szCs w:val="18"/>
    </w:rPr>
  </w:style>
  <w:style w:type="paragraph" w:customStyle="1" w:styleId="MarginEdition">
    <w:name w:val="Margin Edition"/>
    <w:basedOn w:val="MarginNote"/>
    <w:rsid w:val="004F3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73E"/>
    <w:rPr>
      <w:sz w:val="2"/>
      <w:szCs w:val="2"/>
    </w:rPr>
  </w:style>
  <w:style w:type="character" w:customStyle="1" w:styleId="Small">
    <w:name w:val="Small"/>
    <w:basedOn w:val="DefaultParagraphFont"/>
    <w:rsid w:val="004F373E"/>
    <w:rPr>
      <w:sz w:val="16"/>
    </w:rPr>
  </w:style>
  <w:style w:type="paragraph" w:customStyle="1" w:styleId="WideTable">
    <w:name w:val="Wide Table"/>
    <w:basedOn w:val="Normal"/>
    <w:rsid w:val="004F3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73E"/>
  </w:style>
  <w:style w:type="paragraph" w:styleId="Quote">
    <w:name w:val="Quote"/>
    <w:basedOn w:val="Heading1"/>
    <w:link w:val="QuoteChar"/>
    <w:qFormat/>
    <w:rsid w:val="004F3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73E"/>
    <w:pPr>
      <w:pageBreakBefore/>
    </w:pPr>
  </w:style>
  <w:style w:type="paragraph" w:customStyle="1" w:styleId="Border">
    <w:name w:val="Border"/>
    <w:basedOn w:val="Normal"/>
    <w:qFormat/>
    <w:rsid w:val="004F3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73E"/>
    <w:rPr>
      <w:u w:val="single"/>
    </w:rPr>
  </w:style>
  <w:style w:type="character" w:customStyle="1" w:styleId="BoldandItalics">
    <w:name w:val="Bold and Italics"/>
    <w:qFormat/>
    <w:rsid w:val="004F373E"/>
    <w:rPr>
      <w:b/>
      <w:i/>
      <w:u w:val="none"/>
    </w:rPr>
  </w:style>
  <w:style w:type="paragraph" w:styleId="BalloonText">
    <w:name w:val="Balloon Text"/>
    <w:basedOn w:val="Normal"/>
    <w:link w:val="BalloonTextChar"/>
    <w:rsid w:val="004F3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73E"/>
    <w:pPr>
      <w:spacing w:before="0" w:after="0"/>
    </w:pPr>
  </w:style>
  <w:style w:type="paragraph" w:customStyle="1" w:styleId="BodyTextBold">
    <w:name w:val="Body Text Bold"/>
    <w:basedOn w:val="BodyText"/>
    <w:qFormat/>
    <w:rsid w:val="004F373E"/>
    <w:rPr>
      <w:b/>
    </w:rPr>
  </w:style>
  <w:style w:type="character" w:styleId="Hyperlink">
    <w:name w:val="Hyperlink"/>
    <w:basedOn w:val="DefaultParagraphFont"/>
    <w:uiPriority w:val="99"/>
    <w:unhideWhenUsed/>
    <w:rsid w:val="00555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970</Words>
  <Characters>6390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ICTOPN504 Test and commission a dense wavelength division multiplexing transmission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