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F70" w:rsidP="00FD6F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ICTOPN501 Plan and configure dense wavelength division multiplexing systems</w:t>
      </w:r>
      <w:r>
        <w:fldChar w:fldCharType="end"/>
      </w:r>
    </w:p>
    <w:p w:rsidR="00FD6F70" w:rsidP="00FD6F70">
      <w:pPr>
        <w:pStyle w:val="Version"/>
        <w:sectPr w:rsidSect="00150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BAB" w:rsidP="00150BAB">
      <w:pPr>
        <w:pStyle w:val="SuperHeading"/>
      </w:pPr>
      <w:r w:rsidRPr="00150BAB">
        <w:t>ICTOPN501 Plan and configure dense wavelength division multiplexing systems</w:t>
      </w:r>
    </w:p>
    <w:p w:rsidR="00000000" w:rsidRPr="00150BAB" w:rsidP="00150BAB">
      <w:pPr>
        <w:pStyle w:val="Heading1"/>
      </w:pPr>
      <w:bookmarkStart w:id="1" w:name="O_759230"/>
      <w:bookmarkEnd w:id="1"/>
      <w:r w:rsidRPr="00150B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2"/>
        <w:gridCol w:w="5768"/>
      </w:tblGrid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rPr>
                <w:rStyle w:val="SpecialBold"/>
              </w:rPr>
              <w:t>Release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rPr>
                <w:rStyle w:val="SpecialBold"/>
              </w:rPr>
              <w:t>Comments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Release 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t>This version first released with ICT Information and Communications Technology Training Package Version 2.0.</w:t>
            </w:r>
          </w:p>
        </w:tc>
      </w:tr>
    </w:tbl>
    <w:p w:rsidR="00000000" w:rsidRPr="00150BAB" w:rsidP="00150BAB">
      <w:pPr>
        <w:pStyle w:val="BodyText"/>
      </w:pPr>
    </w:p>
    <w:p w:rsidR="00000000" w:rsidRPr="00150BAB" w:rsidP="00150BAB">
      <w:pPr>
        <w:pStyle w:val="AllowPageBreak"/>
      </w:pPr>
    </w:p>
    <w:p w:rsidR="00000000" w:rsidRPr="00150BAB" w:rsidP="00150BAB">
      <w:pPr>
        <w:pStyle w:val="Heading1"/>
      </w:pPr>
      <w:bookmarkStart w:id="2" w:name="O_759231"/>
      <w:bookmarkEnd w:id="2"/>
      <w:r w:rsidRPr="00150BAB">
        <w:t>Application</w:t>
      </w:r>
    </w:p>
    <w:p w:rsidR="00000000" w:rsidRPr="00150BAB" w:rsidP="00FD6F70">
      <w:pPr>
        <w:pStyle w:val="BodyText"/>
      </w:pPr>
      <w:r w:rsidRPr="00150BAB">
        <w:t>This unit describes the skills and knowledge required to prepare activity plans and specifications required to deploy a dense wavelength division multiplexing (DWDM) optical network suitable for a metropolitan area network (MAN)</w:t>
      </w:r>
      <w:r w:rsidRPr="00150BAB">
        <w:t xml:space="preserve"> or long haul applications.</w:t>
      </w:r>
    </w:p>
    <w:p w:rsidR="00000000" w:rsidRPr="00150BAB" w:rsidP="00FD6F70">
      <w:pPr>
        <w:pStyle w:val="BodyText"/>
      </w:pPr>
      <w:r w:rsidRPr="00150BAB">
        <w:t xml:space="preserve">It applies to individuals who work as members of a team and use high-level communication and technical skills to provide services in Next Generation Networks (NGN) using emerging technologies. </w:t>
      </w:r>
    </w:p>
    <w:p w:rsidR="00000000" w:rsidRPr="00150BAB" w:rsidP="00FD6F70">
      <w:pPr>
        <w:pStyle w:val="BodyText"/>
      </w:pPr>
      <w:r w:rsidRPr="00150BAB">
        <w:t xml:space="preserve">No licensing, legislative or certification requirements apply to this unit at the time of publication. </w:t>
      </w:r>
    </w:p>
    <w:p w:rsidR="00000000" w:rsidRPr="00150BAB" w:rsidP="00150BAB">
      <w:pPr>
        <w:pStyle w:val="Heading1"/>
      </w:pPr>
      <w:bookmarkStart w:id="3" w:name="O_759234"/>
      <w:bookmarkEnd w:id="3"/>
      <w:r w:rsidRPr="00150BAB">
        <w:t>Unit Sector</w:t>
      </w:r>
    </w:p>
    <w:p w:rsidR="00000000" w:rsidRPr="00150BAB" w:rsidP="00FD6F70">
      <w:pPr>
        <w:pStyle w:val="BodyText"/>
      </w:pPr>
      <w:r w:rsidRPr="00150BAB">
        <w:t>Telecommunications – Optical Networks</w:t>
      </w:r>
    </w:p>
    <w:p w:rsidR="00000000" w:rsidRPr="00150BAB" w:rsidP="00150BAB">
      <w:pPr>
        <w:pStyle w:val="Heading1"/>
      </w:pPr>
      <w:bookmarkStart w:id="4" w:name="O_759235"/>
      <w:bookmarkEnd w:id="4"/>
      <w:r w:rsidRPr="00150B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7"/>
        <w:gridCol w:w="6611"/>
      </w:tblGrid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rPr>
                <w:rStyle w:val="SpecialBold"/>
              </w:rPr>
              <w:t>Element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rPr>
                <w:rStyle w:val="SpecialBold"/>
              </w:rPr>
              <w:t>Performance Criteria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rPr>
                <w:rStyle w:val="Emphasis"/>
              </w:rPr>
              <w:t>Elem</w:t>
            </w:r>
            <w:r w:rsidRPr="00150BAB">
              <w:rPr>
                <w:rStyle w:val="Emphasis"/>
              </w:rPr>
              <w:t>ents describe the essential outcomes.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1. Prepare for DWDM planning activities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t>1.1 Obtain relevant legislation, codes, regulations and standards for complianc</w:t>
            </w:r>
            <w:r w:rsidRPr="00150BAB">
              <w:t xml:space="preserve">e when conducting work  </w:t>
            </w:r>
          </w:p>
          <w:p w:rsidR="00000000" w:rsidRPr="00150BAB" w:rsidP="00150BAB">
            <w:pPr>
              <w:pStyle w:val="BodyText"/>
            </w:pPr>
            <w:r w:rsidRPr="00150BAB">
              <w:t xml:space="preserve">1.2 Scope the work by obtaining project plan from appropriate personnel and arrange for site access to comply with security arrangements  </w:t>
            </w:r>
          </w:p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1.3 Notify appropriate personnel of identified safety hazards at the worksite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 xml:space="preserve">2. Plan DWDM </w:t>
            </w:r>
            <w:r w:rsidRPr="00150BAB">
              <w:t>installation activities and develop specifications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t xml:space="preserve">2.1 Follow work health and safety (WHS) and environmental requirements for given work and identify and avoid other services  </w:t>
            </w:r>
          </w:p>
          <w:p w:rsidR="00000000" w:rsidRPr="00150BAB" w:rsidP="00150BAB">
            <w:pPr>
              <w:pStyle w:val="BodyText"/>
            </w:pPr>
            <w:r w:rsidRPr="00150BAB">
              <w:t>2.2 Identify tools, safety equipment, plant and machinery for installation work</w:t>
            </w:r>
            <w:r w:rsidRPr="00150BAB">
              <w:t xml:space="preserve"> activities  </w:t>
            </w:r>
          </w:p>
          <w:p w:rsidR="00000000" w:rsidRPr="00150BAB" w:rsidP="00150BAB">
            <w:pPr>
              <w:pStyle w:val="BodyText"/>
            </w:pPr>
            <w:r w:rsidRPr="00150BAB">
              <w:t xml:space="preserve">2.3 Conduct physical inspections of proposed DWDM sites and verify backbone dark fibre is accessible and available according to cabling plan  </w:t>
            </w:r>
          </w:p>
          <w:p w:rsidR="00000000" w:rsidRPr="00150BAB" w:rsidP="00150BAB">
            <w:pPr>
              <w:pStyle w:val="BodyText"/>
            </w:pPr>
            <w:r w:rsidRPr="00150BAB">
              <w:t xml:space="preserve">2.4 Verify proposed backbone and customer fibre cable routes to splicing cabinet and fibre patch panel, and identify barriers to cable installation  </w:t>
            </w:r>
          </w:p>
          <w:p w:rsidR="00000000" w:rsidRPr="00150BAB" w:rsidP="00150BAB">
            <w:pPr>
              <w:pStyle w:val="BodyText"/>
            </w:pPr>
            <w:r w:rsidRPr="00150BAB">
              <w:t>2.5 Verify proposed power cabling route from distribution board and circuit breakers, and identify barrier</w:t>
            </w:r>
            <w:r w:rsidRPr="00150BAB">
              <w:t xml:space="preserve">s to cable installation  </w:t>
            </w:r>
          </w:p>
          <w:p w:rsidR="00000000" w:rsidRPr="00150BAB" w:rsidP="00150BAB">
            <w:pPr>
              <w:pStyle w:val="BodyText"/>
            </w:pPr>
            <w:r w:rsidRPr="00150BAB">
              <w:t xml:space="preserve">2.6 Modify cable plan if required and notify appropriate personnel  </w:t>
            </w:r>
          </w:p>
          <w:p w:rsidR="00000000" w:rsidRPr="00150BAB" w:rsidP="00150BAB">
            <w:pPr>
              <w:pStyle w:val="BodyText"/>
            </w:pPr>
            <w:r w:rsidRPr="00150BAB">
              <w:t>2.7 Prepare fibre installation specifications and power cable and grounding specifications according to cabling plan and safe work practices and manufacturer’s i</w:t>
            </w:r>
            <w:r w:rsidRPr="00150BAB">
              <w:t xml:space="preserve">nstructions  </w:t>
            </w:r>
          </w:p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2.8 Verify proposed location of associated hardware racks, cabinets and ironwork, and confirm access to enterprise local area network (LAN)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3. Prepare DWDM shelf configuration and specifications according to customer requirements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t>3.1 Prepare</w:t>
            </w:r>
            <w:r w:rsidRPr="00150BAB">
              <w:t xml:space="preserve"> a configuration document including configuration plans and specifications for the installation team  </w:t>
            </w:r>
          </w:p>
          <w:p w:rsidR="00000000" w:rsidRPr="00150BAB" w:rsidP="00150BAB">
            <w:pPr>
              <w:pStyle w:val="BodyText"/>
            </w:pPr>
            <w:r w:rsidRPr="00150BAB">
              <w:t xml:space="preserve">3.2 Specify location of DWDM shelves or racks and the shelf interconnection fibre cabling layout according to cabling plan  </w:t>
            </w:r>
          </w:p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 xml:space="preserve">3.3 Specify individual DWDM </w:t>
            </w:r>
            <w:r w:rsidRPr="00150BAB">
              <w:t>units and circuit card types required to suit customer requirements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4. Plan preliminary optical tests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t>4.1 Verify backbone fibres at patch panel and conduct bidirectional optical time domain reflectometer (OTDR) test and record measurement results and OTDR</w:t>
            </w:r>
            <w:r w:rsidRPr="00150BAB">
              <w:t xml:space="preserve"> images  </w:t>
            </w:r>
          </w:p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 xml:space="preserve">4.2 Conduct bidirectional optical loss test set (OLTS) measurement of insertion loss on backbone fibres from patch panel to patch panel at adjacent sites and record measurement results 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5. Complete documentation and obtain sign-off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t>5.1 Provide r</w:t>
            </w:r>
            <w:r w:rsidRPr="00150BAB">
              <w:t xml:space="preserve">esults of optical measurements to design team  </w:t>
            </w:r>
          </w:p>
          <w:p w:rsidR="00000000" w:rsidRPr="00150BAB" w:rsidP="00150BAB">
            <w:pPr>
              <w:pStyle w:val="BodyText"/>
            </w:pPr>
            <w:r w:rsidRPr="00150BAB">
              <w:t xml:space="preserve">5.2 Complete and provide updated specification documentation to installation team  </w:t>
            </w:r>
          </w:p>
          <w:p w:rsidR="00000000" w:rsidRPr="00150BAB" w:rsidP="00150BAB">
            <w:pPr>
              <w:pStyle w:val="BodyText"/>
            </w:pPr>
            <w:r w:rsidRPr="00150BAB">
              <w:t>5.3 Submit documentation to appropriate person for approval and sign-off</w:t>
            </w:r>
          </w:p>
        </w:tc>
      </w:tr>
    </w:tbl>
    <w:p w:rsidR="00000000" w:rsidRPr="00150BAB" w:rsidP="00150BAB">
      <w:pPr>
        <w:pStyle w:val="BodyText"/>
      </w:pPr>
    </w:p>
    <w:p w:rsidR="00000000" w:rsidRPr="00150BAB" w:rsidP="00150BAB">
      <w:pPr>
        <w:pStyle w:val="AllowPageBreak"/>
      </w:pPr>
    </w:p>
    <w:p w:rsidR="00000000" w:rsidRPr="00150BAB" w:rsidP="00150BAB">
      <w:pPr>
        <w:pStyle w:val="Heading1"/>
      </w:pPr>
      <w:bookmarkStart w:id="5" w:name="O_759236"/>
      <w:bookmarkEnd w:id="5"/>
      <w:r w:rsidRPr="00150BAB">
        <w:t>Foundation Skills</w:t>
      </w:r>
    </w:p>
    <w:p w:rsidR="00000000" w:rsidRPr="00FD6F70" w:rsidP="00FD6F70">
      <w:pPr>
        <w:pStyle w:val="BodyText"/>
        <w:rPr>
          <w:i/>
        </w:rPr>
      </w:pPr>
      <w:r w:rsidRPr="00FD6F7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698"/>
        <w:gridCol w:w="5573"/>
      </w:tblGrid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rPr>
                <w:rStyle w:val="SpecialBold"/>
              </w:rPr>
              <w:t>Skill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rPr>
                <w:rStyle w:val="SpecialBold"/>
              </w:rPr>
              <w:t>Performance Criteria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rPr>
                <w:rStyle w:val="SpecialBold"/>
              </w:rPr>
              <w:t>Description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Reading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1.1, 2.1, 2.3, 2.7, 3.2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ListBullet"/>
              <w:rPr>
                <w:lang w:val="en-NZ"/>
              </w:rPr>
            </w:pPr>
            <w:r w:rsidRPr="00150BAB">
              <w:t>Interprets textual info</w:t>
            </w:r>
            <w:r w:rsidRPr="00150BAB">
              <w:t>rmation from relevant sources to identify and plan for all job requirements and to adhere to procedures and standards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Writing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1.2, 1.3, 2.6, 3.1, 4.1, 4.2, 5.1, 5.2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ListBullet"/>
              <w:rPr>
                <w:lang w:val="en-NZ"/>
              </w:rPr>
            </w:pPr>
            <w:r w:rsidRPr="00150BAB">
              <w:t xml:space="preserve">Accurately completes relevant reports and documentation using clear and technically </w:t>
            </w:r>
            <w:r w:rsidRPr="00150BAB">
              <w:t xml:space="preserve">specific language, numerical data and diagrammatic information  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Oral Communication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1.2, 1.3, 2.6, 5.1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ListBullet"/>
              <w:rPr>
                <w:lang w:val="en-NZ"/>
              </w:rPr>
            </w:pPr>
            <w:r w:rsidRPr="00150BAB">
              <w:t>Uses listening and questioning skills to confirm understanding for requirements, participates in a verbal exchange of ideas and solutions and uses appr</w:t>
            </w:r>
            <w:r w:rsidRPr="00150BAB">
              <w:t>opriate, detailed and clear language to address key personnel, contractors, vendors and clients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Numeracy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2.7, 4.1, 4.2, 5.1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ListBullet"/>
              <w:rPr>
                <w:lang w:val="en-NZ"/>
              </w:rPr>
            </w:pPr>
            <w:r w:rsidRPr="00150BAB">
              <w:t xml:space="preserve">Uses mathematical equations to evaluate technical data to calculate required settings and make adjustments 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Navigate the world of</w:t>
            </w:r>
            <w:r w:rsidRPr="00150BAB">
              <w:t xml:space="preserve"> work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1.1, 2.1, 2.7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ListBullet"/>
            </w:pPr>
            <w:r w:rsidRPr="00150BAB">
              <w:t>Understands how own role meshes with others and contributes to broader work goals</w:t>
            </w:r>
          </w:p>
          <w:p w:rsidR="00000000" w:rsidP="00150BAB">
            <w:pPr>
              <w:pStyle w:val="ListBullet"/>
              <w:rPr>
                <w:lang w:val="en-NZ"/>
              </w:rPr>
            </w:pPr>
            <w:r w:rsidRPr="00150BAB">
              <w:t>Monitors adherence to legal and regulatory rights and responsibilities with specific reference to safe industry practices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Interact with others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5.3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ListBullet"/>
              <w:rPr>
                <w:lang w:val="en-NZ"/>
              </w:rPr>
            </w:pPr>
            <w:r w:rsidRPr="00150BAB">
              <w:t>Acti</w:t>
            </w:r>
            <w:r w:rsidRPr="00150BAB">
              <w:t>vely identifies requirements of important communication exchanges, selecting appropriate channels, format, tone and content to suit purpose and audience and monitoring impact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Get the work done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1.1, 1.2, 2.2-2.5, 2.8, 3.2, 3.3, 4.1, 4.2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ListBullet"/>
            </w:pPr>
            <w:r w:rsidRPr="00150BAB">
              <w:t xml:space="preserve">Develops plans to </w:t>
            </w:r>
            <w:r w:rsidRPr="00150BAB">
              <w:t>manage relatively complex, non-routine tasks with an awareness of how they may contribute to longer term operational and strategic goals</w:t>
            </w:r>
          </w:p>
          <w:p w:rsidR="00000000" w:rsidRPr="00150BAB" w:rsidP="00150BAB">
            <w:pPr>
              <w:pStyle w:val="ListBullet"/>
            </w:pPr>
            <w:r w:rsidRPr="00150BAB">
              <w:t>Makes a range of critical and non-critical decisions in relatively complex situations, taking a range of constraints in</w:t>
            </w:r>
            <w:r w:rsidRPr="00150BAB">
              <w:t>to account</w:t>
            </w:r>
          </w:p>
          <w:p w:rsidR="00000000" w:rsidRPr="00150BAB" w:rsidP="00150BAB">
            <w:pPr>
              <w:pStyle w:val="ListBullet"/>
            </w:pPr>
            <w:r w:rsidRPr="00150BAB">
              <w:t xml:space="preserve">Demonstrates a sophisticated understanding of principles, concepts, language and practices associated with the digital world  </w:t>
            </w:r>
          </w:p>
        </w:tc>
      </w:tr>
    </w:tbl>
    <w:p w:rsidR="00000000" w:rsidRPr="00150BAB" w:rsidP="00150BAB">
      <w:pPr>
        <w:pStyle w:val="BodyText"/>
      </w:pPr>
    </w:p>
    <w:p w:rsidR="00000000" w:rsidRPr="00150BAB" w:rsidP="00150BAB">
      <w:pPr>
        <w:pStyle w:val="AllowPageBreak"/>
      </w:pPr>
    </w:p>
    <w:p w:rsidR="00000000" w:rsidRPr="00150BAB" w:rsidP="00150BAB">
      <w:pPr>
        <w:pStyle w:val="Heading1"/>
      </w:pPr>
      <w:bookmarkStart w:id="6" w:name="O_759238"/>
      <w:bookmarkEnd w:id="6"/>
      <w:r w:rsidRPr="00150B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rPr>
                <w:rStyle w:val="SpecialBold"/>
              </w:rPr>
              <w:t xml:space="preserve">Code and title </w:t>
            </w:r>
          </w:p>
          <w:p w:rsidR="00000000" w:rsidRPr="00150BAB" w:rsidP="00150BAB">
            <w:pPr>
              <w:pStyle w:val="BodyText"/>
            </w:pPr>
            <w:r w:rsidRPr="00150BA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rPr>
                <w:rStyle w:val="SpecialBold"/>
              </w:rPr>
              <w:t>Code and title</w:t>
            </w:r>
          </w:p>
          <w:p w:rsidR="00000000" w:rsidRPr="00150BAB" w:rsidP="00150BAB">
            <w:pPr>
              <w:pStyle w:val="BodyText"/>
            </w:pPr>
            <w:r w:rsidRPr="00150BA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rPr>
                <w:rStyle w:val="SpecialBold"/>
              </w:rPr>
              <w:t>Equivalence status</w:t>
            </w:r>
          </w:p>
        </w:tc>
      </w:tr>
      <w:tr w:rsidTr="00150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 xml:space="preserve">ICTOPN501 Plan and configure dense wavelength division multiplexing systems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 xml:space="preserve">ICTOPN5118A Plan and configure dense wavelength division multiplexing systems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AB">
            <w:pPr>
              <w:pStyle w:val="BodyText"/>
              <w:rPr>
                <w:lang w:val="en-NZ"/>
              </w:rPr>
            </w:pPr>
            <w:r w:rsidRPr="00150BA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AB" w:rsidP="00150BAB">
            <w:pPr>
              <w:pStyle w:val="BodyText"/>
            </w:pPr>
            <w:r w:rsidRPr="00150BAB">
              <w:t>Equivalent unit</w:t>
            </w:r>
          </w:p>
        </w:tc>
      </w:tr>
    </w:tbl>
    <w:p w:rsidR="00000000" w:rsidRPr="00150BAB" w:rsidP="00150BAB">
      <w:pPr>
        <w:pStyle w:val="BodyText"/>
      </w:pPr>
    </w:p>
    <w:p w:rsidR="00000000" w:rsidRPr="00150BAB" w:rsidP="00150BAB">
      <w:pPr>
        <w:pStyle w:val="AllowPageBreak"/>
      </w:pPr>
    </w:p>
    <w:p w:rsidR="00000000" w:rsidRPr="00150BAB" w:rsidP="00150BAB">
      <w:pPr>
        <w:pStyle w:val="Heading1"/>
      </w:pPr>
      <w:bookmarkStart w:id="7" w:name="O_759245"/>
      <w:bookmarkEnd w:id="7"/>
      <w:r w:rsidRPr="00150BAB">
        <w:t>Links</w:t>
      </w:r>
    </w:p>
    <w:p w:rsidR="00000000" w:rsidRPr="00150BAB" w:rsidP="00FD6F70">
      <w:pPr>
        <w:pStyle w:val="BodyText"/>
      </w:pPr>
      <w:r w:rsidRPr="00150B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F710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0BAB" w:rsidP="00150BAB"/>
    <w:sectPr w:rsidSect="00150B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AB" w:rsidRPr="00FD6F70" w:rsidP="00FD6F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F70" w:rsidP="00150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F70" w:rsidP="00150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6F70" w:rsidP="00150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F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BAB" w:rsidRPr="00FD6F70" w:rsidP="00FD6F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F70" w:rsidRPr="002D2AF8" w:rsidP="00150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ICTOPN501 Plan and configure dense wavelength division multiplexing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D6F70" w:rsidP="00150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90B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AE5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BAB"/>
  </w:style>
  <w:style w:type="character" w:customStyle="1" w:styleId="Heading1Char">
    <w:name w:val="Heading 1 Char"/>
    <w:basedOn w:val="DefaultParagraphFont"/>
    <w:link w:val="Heading1"/>
    <w:rsid w:val="00150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B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B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B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BAB"/>
    <w:rPr>
      <w:b/>
      <w:spacing w:val="0"/>
    </w:rPr>
  </w:style>
  <w:style w:type="character" w:styleId="Emphasis">
    <w:name w:val="Emphasis"/>
    <w:basedOn w:val="DefaultParagraphFont"/>
    <w:qFormat/>
    <w:rsid w:val="00150BAB"/>
    <w:rPr>
      <w:i/>
    </w:rPr>
  </w:style>
  <w:style w:type="paragraph" w:customStyle="1" w:styleId="SuperHeading">
    <w:name w:val="SuperHeading"/>
    <w:basedOn w:val="Normal"/>
    <w:rsid w:val="00150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B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B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B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B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0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BAB"/>
  </w:style>
  <w:style w:type="paragraph" w:styleId="TableofFigures">
    <w:name w:val="table of figures"/>
    <w:basedOn w:val="Normal"/>
    <w:next w:val="Normal"/>
    <w:semiHidden/>
    <w:rsid w:val="00150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B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BAB"/>
    <w:rPr>
      <w:rFonts w:ascii="Wingdings" w:hAnsi="Wingdings"/>
    </w:rPr>
  </w:style>
  <w:style w:type="paragraph" w:customStyle="1" w:styleId="TableHeading">
    <w:name w:val="Table Heading"/>
    <w:basedOn w:val="HeadingBase"/>
    <w:rsid w:val="00150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BAB"/>
    <w:rPr>
      <w:color w:val="0033CC"/>
      <w:u w:val="none"/>
    </w:rPr>
  </w:style>
  <w:style w:type="paragraph" w:customStyle="1" w:styleId="BodyTextRight">
    <w:name w:val="Body Text Right"/>
    <w:basedOn w:val="BodyText"/>
    <w:rsid w:val="00150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B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BAB"/>
    <w:rPr>
      <w:sz w:val="32"/>
    </w:rPr>
  </w:style>
  <w:style w:type="paragraph" w:customStyle="1" w:styleId="HeadingProcedure">
    <w:name w:val="Heading Procedure"/>
    <w:basedOn w:val="HeadingBase"/>
    <w:next w:val="Normal"/>
    <w:rsid w:val="00150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BAB"/>
    <w:pPr>
      <w:spacing w:before="60" w:after="60"/>
    </w:pPr>
  </w:style>
  <w:style w:type="paragraph" w:styleId="ListContinue">
    <w:name w:val="List Continue"/>
    <w:basedOn w:val="List"/>
    <w:rsid w:val="00150BAB"/>
    <w:pPr>
      <w:ind w:firstLine="0"/>
    </w:pPr>
  </w:style>
  <w:style w:type="paragraph" w:customStyle="1" w:styleId="ListNote">
    <w:name w:val="List Note"/>
    <w:basedOn w:val="List"/>
    <w:rsid w:val="00150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BAB"/>
    <w:rPr>
      <w:rFonts w:ascii="Courier New" w:hAnsi="Courier New"/>
    </w:rPr>
  </w:style>
  <w:style w:type="paragraph" w:customStyle="1" w:styleId="NoteBullet">
    <w:name w:val="Note Bullet"/>
    <w:basedOn w:val="Note"/>
    <w:rsid w:val="00150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B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BAB"/>
    <w:rPr>
      <w:b/>
      <w:smallCaps/>
    </w:rPr>
  </w:style>
  <w:style w:type="paragraph" w:customStyle="1" w:styleId="TableListNumber">
    <w:name w:val="Table List Number"/>
    <w:basedOn w:val="ListNumber"/>
    <w:rsid w:val="00150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BAB"/>
    <w:pPr>
      <w:numPr>
        <w:numId w:val="8"/>
      </w:numPr>
    </w:pPr>
  </w:style>
  <w:style w:type="paragraph" w:customStyle="1" w:styleId="ListAlpha2">
    <w:name w:val="List Alpha 2"/>
    <w:basedOn w:val="List2"/>
    <w:rsid w:val="00150BAB"/>
    <w:pPr>
      <w:numPr>
        <w:numId w:val="7"/>
      </w:numPr>
    </w:pPr>
  </w:style>
  <w:style w:type="paragraph" w:styleId="List2">
    <w:name w:val="List 2"/>
    <w:basedOn w:val="BodyText"/>
    <w:rsid w:val="00150B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B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B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BAB"/>
    <w:pPr>
      <w:numPr>
        <w:numId w:val="3"/>
      </w:numPr>
    </w:pPr>
  </w:style>
  <w:style w:type="paragraph" w:styleId="ListContinue2">
    <w:name w:val="List Continue 2"/>
    <w:basedOn w:val="List2"/>
    <w:rsid w:val="00150BAB"/>
    <w:pPr>
      <w:ind w:firstLine="0"/>
    </w:pPr>
  </w:style>
  <w:style w:type="paragraph" w:styleId="ListContinue3">
    <w:name w:val="List Continue 3"/>
    <w:basedOn w:val="List3"/>
    <w:rsid w:val="00150BAB"/>
    <w:pPr>
      <w:ind w:left="1021" w:firstLine="0"/>
    </w:pPr>
  </w:style>
  <w:style w:type="paragraph" w:styleId="ListContinue4">
    <w:name w:val="List Continue 4"/>
    <w:basedOn w:val="List4"/>
    <w:rsid w:val="00150BAB"/>
    <w:pPr>
      <w:ind w:firstLine="0"/>
    </w:pPr>
  </w:style>
  <w:style w:type="paragraph" w:styleId="ListContinue5">
    <w:name w:val="List Continue 5"/>
    <w:basedOn w:val="List5"/>
    <w:rsid w:val="00150BAB"/>
    <w:pPr>
      <w:ind w:firstLine="0"/>
    </w:pPr>
  </w:style>
  <w:style w:type="paragraph" w:styleId="ListNumber3">
    <w:name w:val="List Number 3"/>
    <w:basedOn w:val="List3"/>
    <w:rsid w:val="00150BAB"/>
    <w:pPr>
      <w:numPr>
        <w:numId w:val="4"/>
      </w:numPr>
    </w:pPr>
  </w:style>
  <w:style w:type="paragraph" w:styleId="ListNumber4">
    <w:name w:val="List Number 4"/>
    <w:basedOn w:val="List4"/>
    <w:rsid w:val="00150BAB"/>
    <w:pPr>
      <w:numPr>
        <w:numId w:val="5"/>
      </w:numPr>
    </w:pPr>
  </w:style>
  <w:style w:type="paragraph" w:styleId="ListNumber5">
    <w:name w:val="List Number 5"/>
    <w:basedOn w:val="List5"/>
    <w:rsid w:val="00150BAB"/>
    <w:pPr>
      <w:numPr>
        <w:numId w:val="6"/>
      </w:numPr>
    </w:pPr>
  </w:style>
  <w:style w:type="paragraph" w:styleId="BlockText">
    <w:name w:val="Block Text"/>
    <w:basedOn w:val="Normal"/>
    <w:rsid w:val="00150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BAB"/>
    <w:rPr>
      <w:sz w:val="16"/>
      <w:vertAlign w:val="superscript"/>
    </w:rPr>
  </w:style>
  <w:style w:type="character" w:customStyle="1" w:styleId="Symbols">
    <w:name w:val="Symbols"/>
    <w:basedOn w:val="DefaultParagraphFont"/>
    <w:rsid w:val="00150BAB"/>
    <w:rPr>
      <w:rFonts w:ascii="Symbol" w:hAnsi="Symbol"/>
    </w:rPr>
  </w:style>
  <w:style w:type="character" w:customStyle="1" w:styleId="MenuOptions">
    <w:name w:val="Menu Options"/>
    <w:basedOn w:val="DefaultParagraphFont"/>
    <w:rsid w:val="00150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BAB"/>
    <w:rPr>
      <w:b/>
    </w:rPr>
  </w:style>
  <w:style w:type="character" w:customStyle="1" w:styleId="Underlined">
    <w:name w:val="Underlined"/>
    <w:basedOn w:val="DefaultParagraphFont"/>
    <w:rsid w:val="00150BAB"/>
    <w:rPr>
      <w:u w:val="single"/>
    </w:rPr>
  </w:style>
  <w:style w:type="paragraph" w:customStyle="1" w:styleId="TableBodyTextRight">
    <w:name w:val="Table Body Text Right"/>
    <w:basedOn w:val="TableBodyText"/>
    <w:rsid w:val="00150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BAB"/>
    <w:rPr>
      <w:sz w:val="18"/>
    </w:rPr>
  </w:style>
  <w:style w:type="paragraph" w:customStyle="1" w:styleId="BodySmallRight">
    <w:name w:val="Body Small Right"/>
    <w:basedOn w:val="BodyTextRight"/>
    <w:rsid w:val="00150BAB"/>
    <w:rPr>
      <w:sz w:val="18"/>
      <w:szCs w:val="18"/>
    </w:rPr>
  </w:style>
  <w:style w:type="paragraph" w:customStyle="1" w:styleId="MarginEdition">
    <w:name w:val="Margin Edition"/>
    <w:basedOn w:val="MarginNote"/>
    <w:rsid w:val="00150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BAB"/>
    <w:rPr>
      <w:sz w:val="2"/>
      <w:szCs w:val="2"/>
    </w:rPr>
  </w:style>
  <w:style w:type="character" w:customStyle="1" w:styleId="Small">
    <w:name w:val="Small"/>
    <w:basedOn w:val="DefaultParagraphFont"/>
    <w:rsid w:val="00150BAB"/>
    <w:rPr>
      <w:sz w:val="16"/>
    </w:rPr>
  </w:style>
  <w:style w:type="paragraph" w:customStyle="1" w:styleId="WideTable">
    <w:name w:val="Wide Table"/>
    <w:basedOn w:val="Normal"/>
    <w:rsid w:val="00150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BAB"/>
  </w:style>
  <w:style w:type="paragraph" w:styleId="Quote">
    <w:name w:val="Quote"/>
    <w:basedOn w:val="Heading1"/>
    <w:link w:val="QuoteChar"/>
    <w:qFormat/>
    <w:rsid w:val="00150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BAB"/>
    <w:pPr>
      <w:pageBreakBefore/>
    </w:pPr>
  </w:style>
  <w:style w:type="paragraph" w:customStyle="1" w:styleId="Border">
    <w:name w:val="Border"/>
    <w:basedOn w:val="Normal"/>
    <w:qFormat/>
    <w:rsid w:val="00150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BAB"/>
    <w:rPr>
      <w:u w:val="single"/>
    </w:rPr>
  </w:style>
  <w:style w:type="character" w:customStyle="1" w:styleId="BoldandItalics">
    <w:name w:val="Bold and Italics"/>
    <w:qFormat/>
    <w:rsid w:val="00150BAB"/>
    <w:rPr>
      <w:b/>
      <w:i/>
      <w:u w:val="none"/>
    </w:rPr>
  </w:style>
  <w:style w:type="paragraph" w:styleId="BalloonText">
    <w:name w:val="Balloon Text"/>
    <w:basedOn w:val="Normal"/>
    <w:link w:val="BalloonTextChar"/>
    <w:rsid w:val="00150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B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B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BAB"/>
    <w:pPr>
      <w:spacing w:before="0" w:after="0"/>
    </w:pPr>
  </w:style>
  <w:style w:type="paragraph" w:customStyle="1" w:styleId="BodyTextBold">
    <w:name w:val="Body Text Bold"/>
    <w:basedOn w:val="BodyText"/>
    <w:qFormat/>
    <w:rsid w:val="00150BAB"/>
    <w:rPr>
      <w:b/>
    </w:rPr>
  </w:style>
  <w:style w:type="character" w:styleId="Hyperlink">
    <w:name w:val="Hyperlink"/>
    <w:basedOn w:val="DefaultParagraphFont"/>
    <w:uiPriority w:val="99"/>
    <w:unhideWhenUsed/>
    <w:rsid w:val="00FD6F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5423</Characters>
  <Application>Microsoft Office Word</Application>
  <DocSecurity>0</DocSecurity>
  <Lines>200</Lines>
  <Paragraphs>101</Paragraphs>
  <ScaleCrop>false</ScaleCrop>
  <Company>Author-it Software Corporation Ltd.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ICTOPN501 Plan and configure dense wavelength division multiplexing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2020-10-02T06:28:00Z</dcterms:created>
  <dcterms:modified xsi:type="dcterms:W3CDTF">2020-10-02T06:28:00Z</dcterms:modified>
</cp:coreProperties>
</file>