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967" w:rsidP="00E47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ICTOPN501 Plan and configure dense wavelength division multiplexing systems</w:t>
      </w:r>
      <w:r>
        <w:fldChar w:fldCharType="end"/>
      </w:r>
    </w:p>
    <w:p w:rsidR="00E47967" w:rsidP="00E47967">
      <w:pPr>
        <w:pStyle w:val="Version"/>
        <w:sectPr w:rsidSect="00537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5C8" w:rsidP="005375C8">
      <w:pPr>
        <w:pStyle w:val="SuperHeading"/>
      </w:pPr>
      <w:r w:rsidRPr="005375C8">
        <w:t>ICTOPN501 Plan and configure dense wavelength division multiplexing systems</w:t>
      </w:r>
    </w:p>
    <w:p w:rsidR="00000000" w:rsidRPr="005375C8" w:rsidP="005375C8">
      <w:pPr>
        <w:pStyle w:val="Heading1"/>
      </w:pPr>
      <w:bookmarkStart w:id="1" w:name="O_759230"/>
      <w:bookmarkEnd w:id="1"/>
      <w:r w:rsidRPr="00537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SpecialBold"/>
              </w:rPr>
              <w:t>Comments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This version first released with ICT Information and Communications Technology Training Package Version 2.0.</w:t>
            </w:r>
          </w:p>
        </w:tc>
      </w:tr>
    </w:tbl>
    <w:p w:rsidR="00000000" w:rsidRPr="005375C8" w:rsidP="005375C8">
      <w:pPr>
        <w:pStyle w:val="BodyText"/>
      </w:pP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2" w:name="O_759231"/>
      <w:bookmarkEnd w:id="2"/>
      <w:r w:rsidRPr="005375C8">
        <w:t>Application</w:t>
      </w:r>
    </w:p>
    <w:p w:rsidR="00000000" w:rsidRPr="005375C8" w:rsidP="00E47967">
      <w:pPr>
        <w:pStyle w:val="BodyText"/>
      </w:pPr>
      <w:r w:rsidRPr="005375C8">
        <w:t>This unit describes the skills and knowledge required to prepare activity plans and specifications required to deploy a dense wavelength division multiplexing (DWDM) optical network suitable for a metropolitan area network (MAN)</w:t>
      </w:r>
      <w:r w:rsidRPr="005375C8">
        <w:t xml:space="preserve"> or long haul applications.</w:t>
      </w:r>
    </w:p>
    <w:p w:rsidR="00000000" w:rsidRPr="005375C8" w:rsidP="00E47967">
      <w:pPr>
        <w:pStyle w:val="BodyText"/>
      </w:pPr>
      <w:r w:rsidRPr="005375C8">
        <w:t xml:space="preserve">It applies to individuals who work as members of a team and use high-level communication and technical skills to provide services in Next Generation Networks (NGN) using emerging technologies. </w:t>
      </w:r>
    </w:p>
    <w:p w:rsidR="00000000" w:rsidRPr="005375C8" w:rsidP="00E47967">
      <w:pPr>
        <w:pStyle w:val="BodyText"/>
      </w:pPr>
      <w:r w:rsidRPr="005375C8">
        <w:t xml:space="preserve">No licensing, legislative or certification requirements apply to this unit at the time of publication. </w:t>
      </w:r>
    </w:p>
    <w:p w:rsidR="00000000" w:rsidRPr="005375C8" w:rsidP="005375C8">
      <w:pPr>
        <w:pStyle w:val="Heading1"/>
      </w:pPr>
      <w:bookmarkStart w:id="3" w:name="O_759234"/>
      <w:bookmarkEnd w:id="3"/>
      <w:r w:rsidRPr="005375C8">
        <w:t>Unit Sector</w:t>
      </w:r>
    </w:p>
    <w:p w:rsidR="00000000" w:rsidRPr="005375C8" w:rsidP="00E47967">
      <w:pPr>
        <w:pStyle w:val="BodyText"/>
      </w:pPr>
      <w:r w:rsidRPr="005375C8">
        <w:t>Telecommunications – Optical Networks</w:t>
      </w:r>
    </w:p>
    <w:p w:rsidR="00000000" w:rsidRPr="005375C8" w:rsidP="005375C8">
      <w:pPr>
        <w:pStyle w:val="Heading1"/>
      </w:pPr>
      <w:bookmarkStart w:id="4" w:name="O_759235"/>
      <w:bookmarkEnd w:id="4"/>
      <w:r w:rsidRPr="005375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6611"/>
      </w:tblGrid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Element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SpecialBold"/>
              </w:rPr>
              <w:t>Performance Criteria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Emphasis"/>
              </w:rPr>
              <w:t>Elem</w:t>
            </w:r>
            <w:r w:rsidRPr="005375C8">
              <w:rPr>
                <w:rStyle w:val="Emphasis"/>
              </w:rPr>
              <w:t>ents describe the essential outcomes.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 Prepare for DWDM planning activities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1.1 Obtain relevant legislation, codes, regulations and standards for complianc</w:t>
            </w:r>
            <w:r w:rsidRPr="005375C8">
              <w:t xml:space="preserve">e when conducting work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1.2 Scope the work by obtaining project plan from appropriate personnel and arrange for site access to comply with security arrangements  </w:t>
            </w:r>
          </w:p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1.3 Notify appropriate personnel of identified safety hazards at the worksite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 xml:space="preserve">2. Plan DWDM </w:t>
            </w:r>
            <w:r w:rsidRPr="005375C8">
              <w:t>installation activities and develop specifications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 xml:space="preserve">2.1 Follow work health and safety (WHS) and environmental requirements for given work and identify and avoid other services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2.2 Identify tools, safety equipment, plant and machinery for installation work activities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2.3 Conduct physical inspections of proposed DWDM sites and verify backbone dark fibre is accessible and available according to cabling plan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2.4 Verify proposed </w:t>
            </w:r>
            <w:r w:rsidRPr="005375C8">
              <w:t xml:space="preserve">backbone and customer fibre cable routes to splicing cabinet and fibre patch panel, and identify barriers to cable installation  </w:t>
            </w:r>
          </w:p>
          <w:p w:rsidR="00000000" w:rsidRPr="005375C8" w:rsidP="005375C8">
            <w:pPr>
              <w:pStyle w:val="BodyText"/>
            </w:pPr>
            <w:r w:rsidRPr="005375C8">
              <w:t>2.5 Verify proposed power cabling route from distribution board and circuit breakers, and identify barriers to cable installat</w:t>
            </w:r>
            <w:r w:rsidRPr="005375C8">
              <w:t xml:space="preserve">ion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2.6 Modify cable plan if required and notify appropriate personnel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2.7 Prepare fibre installation specifications and power cable and grounding specifications according to cabling plan and safe work practices and manufacturer’s instructions  </w:t>
            </w:r>
          </w:p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2.8 Ve</w:t>
            </w:r>
            <w:r w:rsidRPr="005375C8">
              <w:t>rify proposed location of associated hardware racks, cabinets and ironwork, and confirm access to enterprise local area network (LAN)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3. Prepare DWDM shelf configuration and specifications according to customer requirements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3.1 Prepare a configuration doc</w:t>
            </w:r>
            <w:r w:rsidRPr="005375C8">
              <w:t xml:space="preserve">ument including configuration plans and specifications for the installation team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3.2 Specify location of DWDM shelves or racks and the shelf interconnection fibre cabling layout according to cabling plan  </w:t>
            </w:r>
          </w:p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3.3 Specify individual DWDM units and circuit ca</w:t>
            </w:r>
            <w:r w:rsidRPr="005375C8">
              <w:t>rd types required to suit customer requirements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4. Plan preliminary optical tests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 xml:space="preserve">4.1 Verify backbone fibres at patch panel and conduct bidirectional optical time domain reflectometer (OTDR) test and record measurement results and OTDR images  </w:t>
            </w:r>
          </w:p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4.2 Conduc</w:t>
            </w:r>
            <w:r w:rsidRPr="005375C8">
              <w:t xml:space="preserve">t bidirectional optical loss test set (OLTS) measurement of insertion loss on backbone fibres from patch panel to patch panel at adjacent sites and record measurement results 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5. Complete documentation and obtain sign-off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5.1 Provide results of optical me</w:t>
            </w:r>
            <w:r w:rsidRPr="005375C8">
              <w:t xml:space="preserve">asurements to design team  </w:t>
            </w:r>
          </w:p>
          <w:p w:rsidR="00000000" w:rsidRPr="005375C8" w:rsidP="005375C8">
            <w:pPr>
              <w:pStyle w:val="BodyText"/>
            </w:pPr>
            <w:r w:rsidRPr="005375C8">
              <w:t xml:space="preserve">5.2 Complete and provide updated specification documentation to installation team  </w:t>
            </w:r>
          </w:p>
          <w:p w:rsidR="00000000" w:rsidRPr="005375C8" w:rsidP="005375C8">
            <w:pPr>
              <w:pStyle w:val="BodyText"/>
            </w:pPr>
            <w:r w:rsidRPr="005375C8">
              <w:t>5.3 Submit documentation to appropriate person for approval and sign-off</w:t>
            </w:r>
          </w:p>
        </w:tc>
      </w:tr>
    </w:tbl>
    <w:p w:rsidR="00000000" w:rsidRPr="005375C8" w:rsidP="005375C8">
      <w:pPr>
        <w:pStyle w:val="BodyText"/>
      </w:pP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5" w:name="O_759236"/>
      <w:bookmarkEnd w:id="5"/>
      <w:r w:rsidRPr="005375C8">
        <w:t>Foundation Skills</w:t>
      </w:r>
    </w:p>
    <w:p w:rsidR="00000000" w:rsidRPr="00E47967" w:rsidP="00E47967">
      <w:pPr>
        <w:pStyle w:val="BodyText"/>
        <w:rPr>
          <w:i/>
        </w:rPr>
      </w:pPr>
      <w:r w:rsidRPr="00E479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698"/>
        <w:gridCol w:w="5573"/>
      </w:tblGrid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Skill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Performance Criteria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SpecialBold"/>
              </w:rPr>
              <w:t>Description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Reading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1.1, 2.1, 2.3, 2.7, 3.2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>Interprets textual info</w:t>
            </w:r>
            <w:r w:rsidRPr="005375C8">
              <w:t>rmation from relevant sources to identify and plan for all job requirements and to adhere to procedures and standards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Writing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1.2, 1.3, 2.6, 3.1, 4.1, 4.2, 5.1, 5.2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 xml:space="preserve">Accurately completes relevant reports and documentation using clear and technically specific language, numerical data and diagrammatic information  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Oral Communication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1.2, 1.3, 2.6, 5.1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 xml:space="preserve">Uses listening and questioning skills to confirm understanding for </w:t>
            </w:r>
            <w:r w:rsidRPr="005375C8">
              <w:t>requirements, participates in a verbal exchange of ideas and solutions and uses appropriate, detailed and clear language to address key personnel, contractors, vendors and clients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Numeracy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2.7, 4.1, 4.2, 5.1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>Uses mathematical equations to evaluate techni</w:t>
            </w:r>
            <w:r w:rsidRPr="005375C8">
              <w:t xml:space="preserve">cal data to calculate required settings and make adjustments 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Navigate the world of work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1.1, 2.1, 2.7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ListBullet"/>
            </w:pPr>
            <w:r w:rsidRPr="005375C8">
              <w:t>Understands how own role meshes with others and contributes to broader work goals</w:t>
            </w:r>
          </w:p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>Monitors adherence to legal and regulatory rights and responsibilities with specific reference to safe industry practices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Interact with others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5.3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ListBullet"/>
              <w:rPr>
                <w:lang w:val="en-NZ"/>
              </w:rPr>
            </w:pPr>
            <w:r w:rsidRPr="005375C8">
              <w:t>Actively identifies requirements of important communication exchanges, selecting appropriate channels, form</w:t>
            </w:r>
            <w:r w:rsidRPr="005375C8">
              <w:t>at, tone and content to suit purpose and audience and monitoring impact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Get the work done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1.1, 1.2, 2.2-2.5, 2.8, 3.2, 3.3, 4.1, 4.2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ListBullet"/>
            </w:pPr>
            <w:r w:rsidRPr="005375C8">
              <w:t>Develops plans to manage relatively complex, non-routine tasks with an awareness of how they may contribute to longer ter</w:t>
            </w:r>
            <w:r w:rsidRPr="005375C8">
              <w:t>m operational and strategic goals</w:t>
            </w:r>
          </w:p>
          <w:p w:rsidR="00000000" w:rsidRPr="005375C8" w:rsidP="005375C8">
            <w:pPr>
              <w:pStyle w:val="ListBullet"/>
            </w:pPr>
            <w:r w:rsidRPr="005375C8">
              <w:t>Makes a range of critical and non-critical decisions in relatively complex situations, taking a range of constraints into account</w:t>
            </w:r>
          </w:p>
          <w:p w:rsidR="00000000" w:rsidRPr="005375C8" w:rsidP="005375C8">
            <w:pPr>
              <w:pStyle w:val="ListBullet"/>
            </w:pPr>
            <w:r w:rsidRPr="005375C8">
              <w:t xml:space="preserve">Demonstrates a sophisticated understanding of principles, concepts, language and practices associated with the digital world  </w:t>
            </w:r>
          </w:p>
        </w:tc>
      </w:tr>
    </w:tbl>
    <w:p w:rsidR="00000000" w:rsidRPr="005375C8" w:rsidP="005375C8">
      <w:pPr>
        <w:pStyle w:val="BodyText"/>
      </w:pP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6" w:name="O_759238"/>
      <w:bookmarkEnd w:id="6"/>
      <w:r w:rsidRPr="005375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 xml:space="preserve">Code and title </w:t>
            </w:r>
          </w:p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Code and title</w:t>
            </w:r>
          </w:p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SpecialBold"/>
              </w:rPr>
              <w:t xml:space="preserve">Equivalence </w:t>
            </w:r>
            <w:r w:rsidRPr="005375C8">
              <w:rPr>
                <w:rStyle w:val="SpecialBold"/>
              </w:rPr>
              <w:t>status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 xml:space="preserve">ICTOPN501 Plan and configure dense wavelength division multiplexing systems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 xml:space="preserve">ICTOPN5118A Plan and configure dense wavelength division multiplexing systems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Equivalent unit</w:t>
            </w:r>
          </w:p>
        </w:tc>
      </w:tr>
    </w:tbl>
    <w:p w:rsidR="00000000" w:rsidRPr="005375C8" w:rsidP="005375C8">
      <w:pPr>
        <w:pStyle w:val="BodyText"/>
      </w:pP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7" w:name="O_759245"/>
      <w:bookmarkEnd w:id="7"/>
      <w:r w:rsidRPr="005375C8">
        <w:t>Links</w:t>
      </w:r>
    </w:p>
    <w:p w:rsidR="00000000" w:rsidRPr="005375C8" w:rsidP="00E47967">
      <w:pPr>
        <w:pStyle w:val="BodyText"/>
      </w:pPr>
      <w:r w:rsidRPr="00537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14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75C8" w:rsidP="00E47967">
      <w:pPr>
        <w:pStyle w:val="BodyText"/>
        <w:sectPr w:rsidSect="005375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5C8" w:rsidP="005375C8">
      <w:pPr>
        <w:pStyle w:val="SuperHeading"/>
      </w:pPr>
      <w:r w:rsidRPr="005375C8">
        <w:t xml:space="preserve">Assessment </w:t>
      </w:r>
      <w:r w:rsidRPr="005375C8">
        <w:t>Requirements for ICTOPN501 Plan and configure dense wavelength division multiplexing systems</w:t>
      </w:r>
    </w:p>
    <w:p w:rsidR="00000000" w:rsidRPr="005375C8" w:rsidP="005375C8">
      <w:pPr>
        <w:pStyle w:val="Heading1"/>
      </w:pPr>
      <w:bookmarkStart w:id="8" w:name="O_759240"/>
      <w:bookmarkEnd w:id="8"/>
      <w:r w:rsidRPr="00537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rPr>
                <w:rStyle w:val="SpecialBold"/>
              </w:rPr>
              <w:t>Comments</w:t>
            </w:r>
          </w:p>
        </w:tc>
      </w:tr>
      <w:tr w:rsidTr="0053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5C8">
            <w:pPr>
              <w:pStyle w:val="BodyText"/>
              <w:rPr>
                <w:lang w:val="en-NZ"/>
              </w:rPr>
            </w:pPr>
            <w:r w:rsidRPr="005375C8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5C8" w:rsidP="005375C8">
            <w:pPr>
              <w:pStyle w:val="BodyText"/>
            </w:pPr>
            <w:r w:rsidRPr="005375C8">
              <w:t>This version first released with ICT Information and Communications Technology Training Package Version 2.0.</w:t>
            </w:r>
          </w:p>
        </w:tc>
      </w:tr>
    </w:tbl>
    <w:p w:rsidR="00000000" w:rsidRPr="005375C8" w:rsidP="005375C8">
      <w:pPr>
        <w:pStyle w:val="BodyText"/>
      </w:pP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9" w:name="O_759241"/>
      <w:bookmarkEnd w:id="9"/>
      <w:r w:rsidRPr="005375C8">
        <w:t>Performance Evidence</w:t>
      </w:r>
    </w:p>
    <w:p w:rsidR="00000000" w:rsidRPr="005375C8" w:rsidP="00E47967">
      <w:pPr>
        <w:pStyle w:val="BodyText"/>
      </w:pPr>
      <w:r w:rsidRPr="005375C8">
        <w:t>Evidence of ability to:</w:t>
      </w:r>
    </w:p>
    <w:p w:rsidR="00000000" w:rsidRPr="005375C8" w:rsidP="005375C8">
      <w:pPr>
        <w:pStyle w:val="ListBullet"/>
      </w:pPr>
      <w:r w:rsidRPr="005375C8">
        <w:t>plan and develop all required dense wavelength division multiplexing (DWDM) installation activities according to all work health and safety (WHS) and job specifications</w:t>
      </w:r>
    </w:p>
    <w:p w:rsidR="00000000" w:rsidRPr="005375C8" w:rsidP="005375C8">
      <w:pPr>
        <w:pStyle w:val="ListBullet"/>
      </w:pPr>
      <w:r w:rsidRPr="005375C8">
        <w:t xml:space="preserve">prepare all DWDM shelf configurations and specifications </w:t>
      </w:r>
    </w:p>
    <w:p w:rsidR="00000000" w:rsidRPr="005375C8" w:rsidP="005375C8">
      <w:pPr>
        <w:pStyle w:val="ListBullet"/>
      </w:pPr>
      <w:r w:rsidRPr="005375C8">
        <w:t>plan preliminary optical test</w:t>
      </w:r>
      <w:r w:rsidRPr="005375C8">
        <w:t>s</w:t>
      </w:r>
    </w:p>
    <w:p w:rsidR="00000000" w:rsidRPr="005375C8" w:rsidP="005375C8">
      <w:pPr>
        <w:pStyle w:val="ListBullet"/>
      </w:pPr>
      <w:r w:rsidRPr="005375C8">
        <w:t>complete project and acceptance documentations and submit for approval.</w:t>
      </w:r>
    </w:p>
    <w:p w:rsidR="00000000" w:rsidRPr="005375C8" w:rsidP="005375C8">
      <w:pPr>
        <w:pStyle w:val="BodyText"/>
      </w:pPr>
    </w:p>
    <w:p w:rsidR="00000000" w:rsidRPr="005375C8" w:rsidP="00E47967">
      <w:pPr>
        <w:pStyle w:val="BodyText"/>
      </w:pPr>
      <w:r w:rsidRPr="005375C8">
        <w:t>Note: If a specific volume or frequency is not stated, then evidence must be provided at least once.</w:t>
      </w:r>
    </w:p>
    <w:p w:rsidR="00000000" w:rsidRPr="005375C8" w:rsidP="005375C8">
      <w:pPr>
        <w:pStyle w:val="Heading1"/>
      </w:pPr>
      <w:bookmarkStart w:id="10" w:name="O_759242"/>
      <w:bookmarkEnd w:id="10"/>
      <w:r w:rsidRPr="005375C8">
        <w:t>Knowledge Evidence</w:t>
      </w:r>
    </w:p>
    <w:p w:rsidR="00000000" w:rsidRPr="005375C8" w:rsidP="00E47967">
      <w:pPr>
        <w:pStyle w:val="BodyText"/>
      </w:pPr>
      <w:r w:rsidRPr="005375C8">
        <w:t>To complete the unit requirements safely and</w:t>
      </w:r>
      <w:r w:rsidRPr="005375C8">
        <w:t xml:space="preserve"> effectively, the individual must: </w:t>
      </w:r>
    </w:p>
    <w:p w:rsidR="00000000" w:rsidRPr="005375C8" w:rsidP="005375C8">
      <w:pPr>
        <w:pStyle w:val="ListBullet"/>
      </w:pPr>
      <w:r w:rsidRPr="005375C8">
        <w:t>explain configuration of DWDM shelf</w:t>
      </w:r>
    </w:p>
    <w:p w:rsidR="00000000" w:rsidRPr="005375C8" w:rsidP="005375C8">
      <w:pPr>
        <w:pStyle w:val="ListBullet"/>
      </w:pPr>
      <w:r w:rsidRPr="005375C8">
        <w:t>summarise principles of DWDM operations</w:t>
      </w:r>
    </w:p>
    <w:p w:rsidR="00000000" w:rsidRPr="005375C8" w:rsidP="005375C8">
      <w:pPr>
        <w:pStyle w:val="ListBullet"/>
      </w:pPr>
      <w:r w:rsidRPr="005375C8">
        <w:t>manage risk of electrostatic discharge</w:t>
      </w:r>
    </w:p>
    <w:p w:rsidR="00000000" w:rsidRPr="005375C8" w:rsidP="005375C8">
      <w:pPr>
        <w:pStyle w:val="ListBullet"/>
      </w:pPr>
      <w:r w:rsidRPr="005375C8">
        <w:t>summarise features and operating requirements of the following test equipment:</w:t>
      </w:r>
    </w:p>
    <w:p w:rsidR="00000000" w:rsidRPr="005375C8" w:rsidP="005375C8">
      <w:pPr>
        <w:pStyle w:val="ListBullet2"/>
      </w:pPr>
      <w:r w:rsidRPr="005375C8">
        <w:t xml:space="preserve">hand-held optical power </w:t>
      </w:r>
      <w:r w:rsidRPr="005375C8">
        <w:t>meter</w:t>
      </w:r>
    </w:p>
    <w:p w:rsidR="00000000" w:rsidRPr="005375C8" w:rsidP="005375C8">
      <w:pPr>
        <w:pStyle w:val="ListBullet2"/>
      </w:pPr>
      <w:r w:rsidRPr="005375C8">
        <w:t>optical spectrum analyser</w:t>
      </w:r>
    </w:p>
    <w:p w:rsidR="00000000" w:rsidRPr="005375C8" w:rsidP="005375C8">
      <w:pPr>
        <w:pStyle w:val="ListBullet2"/>
      </w:pPr>
      <w:r w:rsidRPr="005375C8">
        <w:t>optical time domain reflectometer (OTDR)</w:t>
      </w:r>
    </w:p>
    <w:p w:rsidR="00000000" w:rsidRPr="005375C8" w:rsidP="005375C8">
      <w:pPr>
        <w:pStyle w:val="ListBullet2"/>
      </w:pPr>
      <w:r w:rsidRPr="005375C8">
        <w:t xml:space="preserve">transmission test set </w:t>
      </w:r>
    </w:p>
    <w:p w:rsidR="00000000" w:rsidRPr="005375C8" w:rsidP="005375C8">
      <w:pPr>
        <w:pStyle w:val="ListBullet"/>
      </w:pPr>
      <w:r w:rsidRPr="005375C8">
        <w:t>describe functions of an optical add drop multiplexer</w:t>
      </w:r>
    </w:p>
    <w:p w:rsidR="00000000" w:rsidRPr="005375C8" w:rsidP="005375C8">
      <w:pPr>
        <w:pStyle w:val="ListBullet"/>
      </w:pPr>
      <w:r w:rsidRPr="005375C8">
        <w:t xml:space="preserve">explain the role of the following in planning and configuration of DWDM systems internet protocol (IP) addressing: </w:t>
      </w:r>
    </w:p>
    <w:p w:rsidR="00000000" w:rsidRPr="005375C8" w:rsidP="005375C8">
      <w:pPr>
        <w:pStyle w:val="ListBullet2"/>
      </w:pPr>
      <w:r w:rsidRPr="005375C8">
        <w:t xml:space="preserve">subnet mask </w:t>
      </w:r>
    </w:p>
    <w:p w:rsidR="00000000" w:rsidRPr="005375C8" w:rsidP="005375C8">
      <w:pPr>
        <w:pStyle w:val="ListBullet2"/>
      </w:pPr>
      <w:r w:rsidRPr="005375C8">
        <w:t xml:space="preserve">dynamic host configuration protocol (DHCP) </w:t>
      </w:r>
    </w:p>
    <w:p w:rsidR="00000000" w:rsidRPr="005375C8" w:rsidP="005375C8">
      <w:pPr>
        <w:pStyle w:val="ListBullet2"/>
      </w:pPr>
      <w:r w:rsidRPr="005375C8">
        <w:t>default gateway</w:t>
      </w:r>
    </w:p>
    <w:p w:rsidR="00000000" w:rsidRPr="005375C8" w:rsidP="005375C8">
      <w:pPr>
        <w:pStyle w:val="ListBullet"/>
      </w:pPr>
      <w:r w:rsidRPr="005375C8">
        <w:t>explain International Telecommunications Union (ITU) wavelength g</w:t>
      </w:r>
      <w:r w:rsidRPr="005375C8">
        <w:t>rid for DWDM</w:t>
      </w:r>
    </w:p>
    <w:p w:rsidR="00000000" w:rsidRPr="005375C8" w:rsidP="005375C8">
      <w:pPr>
        <w:pStyle w:val="ListBullet"/>
      </w:pPr>
      <w:r w:rsidRPr="005375C8">
        <w:t>identify optical fibre connector types and discuss their characteristics</w:t>
      </w:r>
    </w:p>
    <w:p w:rsidR="00000000" w:rsidRPr="005375C8" w:rsidP="005375C8">
      <w:pPr>
        <w:pStyle w:val="ListBullet"/>
      </w:pPr>
      <w:r w:rsidRPr="005375C8">
        <w:t>identify optical fibre types and discuss their characteristics</w:t>
      </w:r>
    </w:p>
    <w:p w:rsidR="00000000" w:rsidRPr="005375C8" w:rsidP="005375C8">
      <w:pPr>
        <w:pStyle w:val="ListBullet"/>
      </w:pPr>
      <w:r w:rsidRPr="005375C8">
        <w:t>explain path protection and protection switching</w:t>
      </w:r>
    </w:p>
    <w:p w:rsidR="00000000" w:rsidRPr="005375C8" w:rsidP="005375C8">
      <w:pPr>
        <w:pStyle w:val="ListBullet"/>
      </w:pPr>
      <w:r w:rsidRPr="005375C8">
        <w:t>summarise physical optical loopbacks and software loopback</w:t>
      </w:r>
      <w:r w:rsidRPr="005375C8">
        <w:t>s used to assist with testing DWDM systems</w:t>
      </w:r>
    </w:p>
    <w:p w:rsidR="00000000" w:rsidRPr="005375C8" w:rsidP="005375C8">
      <w:pPr>
        <w:pStyle w:val="ListBullet"/>
      </w:pPr>
      <w:r w:rsidRPr="005375C8">
        <w:t>identify protocols used on optical DWDM systems</w:t>
      </w:r>
    </w:p>
    <w:p w:rsidR="00000000" w:rsidRPr="005375C8" w:rsidP="005375C8">
      <w:pPr>
        <w:pStyle w:val="ListBullet"/>
      </w:pPr>
      <w:r w:rsidRPr="005375C8">
        <w:t>discuss the use of ring topologies and linear network topologies in DWDM system cable routes</w:t>
      </w:r>
    </w:p>
    <w:p w:rsidR="00000000" w:rsidRPr="005375C8" w:rsidP="005375C8">
      <w:pPr>
        <w:pStyle w:val="ListBullet"/>
      </w:pPr>
      <w:r w:rsidRPr="005375C8">
        <w:t>explain specific work health and safety (WHS) requirements that impact safe inspection of optical connectors and safe measurement of optical power from laser transmission systems.</w:t>
      </w:r>
    </w:p>
    <w:p w:rsidR="00000000" w:rsidRPr="005375C8" w:rsidP="005375C8">
      <w:pPr>
        <w:pStyle w:val="AllowPageBreak"/>
      </w:pPr>
    </w:p>
    <w:p w:rsidR="00000000" w:rsidRPr="005375C8" w:rsidP="005375C8">
      <w:pPr>
        <w:pStyle w:val="Heading1"/>
      </w:pPr>
      <w:bookmarkStart w:id="11" w:name="O_759243"/>
      <w:bookmarkEnd w:id="11"/>
      <w:r w:rsidRPr="005375C8">
        <w:t>Assessment Conditions</w:t>
      </w:r>
    </w:p>
    <w:p w:rsidR="00000000" w:rsidRPr="005375C8" w:rsidP="00E47967">
      <w:pPr>
        <w:pStyle w:val="BodyText"/>
      </w:pPr>
      <w:r w:rsidRPr="005375C8">
        <w:t>Gather evidence to demonstrate consis</w:t>
      </w:r>
      <w:r w:rsidRPr="005375C8">
        <w:t>tent performance in conditions that are safe and replicate the workplace. Noise levels, production flow, interruptions and time variances must be typical of those experienced in the Telecommunications – Optical Networks field of work and include access to:</w:t>
      </w:r>
    </w:p>
    <w:p w:rsidR="00000000" w:rsidRPr="005375C8" w:rsidP="005375C8">
      <w:pPr>
        <w:pStyle w:val="ListBullet"/>
      </w:pPr>
      <w:r w:rsidRPr="005375C8">
        <w:t>test equipment currently used in industry</w:t>
      </w:r>
    </w:p>
    <w:p w:rsidR="00000000" w:rsidRPr="005375C8" w:rsidP="005375C8">
      <w:pPr>
        <w:pStyle w:val="ListBullet"/>
      </w:pPr>
      <w:r w:rsidRPr="005375C8">
        <w:t>manufacturer’s technical documentation</w:t>
      </w:r>
    </w:p>
    <w:p w:rsidR="00000000" w:rsidRPr="005375C8" w:rsidP="005375C8">
      <w:pPr>
        <w:pStyle w:val="ListBullet"/>
      </w:pPr>
      <w:r w:rsidRPr="005375C8">
        <w:t>relevant regulations and specifications.</w:t>
      </w:r>
    </w:p>
    <w:p w:rsidR="00000000" w:rsidRPr="005375C8" w:rsidP="005375C8">
      <w:pPr>
        <w:pStyle w:val="BodyText"/>
      </w:pPr>
      <w:r w:rsidRPr="005375C8">
        <w:t xml:space="preserve"> </w:t>
      </w:r>
    </w:p>
    <w:p w:rsidR="00000000" w:rsidRPr="005375C8" w:rsidP="00E47967">
      <w:pPr>
        <w:pStyle w:val="BodyText"/>
      </w:pPr>
      <w:r w:rsidRPr="005375C8">
        <w:t>Assessors of this unit must satisfy the requirements for assessors in applicable vocational education and training legislation, fr</w:t>
      </w:r>
      <w:r w:rsidRPr="005375C8">
        <w:t>ameworks and/or standards.</w:t>
      </w:r>
    </w:p>
    <w:p w:rsidR="00000000" w:rsidRPr="005375C8" w:rsidP="005375C8">
      <w:pPr>
        <w:pStyle w:val="Heading1"/>
      </w:pPr>
      <w:bookmarkStart w:id="12" w:name="O_759246"/>
      <w:bookmarkEnd w:id="12"/>
      <w:r w:rsidRPr="005375C8">
        <w:t>Links</w:t>
      </w:r>
    </w:p>
    <w:p w:rsidR="00000000" w:rsidRPr="005375C8" w:rsidP="00E47967">
      <w:pPr>
        <w:pStyle w:val="BodyText"/>
      </w:pPr>
      <w:r w:rsidRPr="00537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14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75C8" w:rsidP="005375C8"/>
    <w:sectPr w:rsidSect="005375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 w:rsidRPr="00E47967" w:rsidP="00E47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67" w:rsidP="00537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7967" w:rsidP="00537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7967" w:rsidP="005375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 w:rsidP="00537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967">
      <w:t>Approved</w:t>
    </w:r>
    <w:r w:rsidR="00E479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9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967">
      <w:rPr>
        <w:noProof/>
      </w:rPr>
      <w:t>5</w:t>
    </w:r>
    <w:r>
      <w:rPr>
        <w:noProof/>
      </w:rPr>
      <w:fldChar w:fldCharType="end"/>
    </w:r>
  </w:p>
  <w:p w:rsidR="005375C8" w:rsidP="00537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9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967">
      <w:t>Future Skills Organisation</w:t>
    </w:r>
    <w:r w:rsidR="00E47967">
      <w:fldChar w:fldCharType="end"/>
    </w:r>
  </w:p>
  <w:p w:rsidR="005375C8" w:rsidP="00537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5C8" w:rsidRPr="00E47967" w:rsidP="00E47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67" w:rsidRPr="002D2AF8" w:rsidP="00537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ICTOPN501 Plan and configure dense wavelength division multiplexing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7967" w:rsidP="005375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5C8" w:rsidRPr="002D2AF8" w:rsidP="00537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967">
      <w:t>ICTOPN501 Plan and configure dense wavelength division multiplexing systems</w:t>
    </w:r>
    <w:r w:rsidR="00E479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967">
      <w:rPr>
        <w:noProof/>
      </w:rPr>
      <w:t>1 March 2025</w:t>
    </w:r>
    <w:r>
      <w:fldChar w:fldCharType="end"/>
    </w:r>
  </w:p>
  <w:p w:rsidR="005375C8" w:rsidP="00537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86D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32E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68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5C8"/>
  </w:style>
  <w:style w:type="character" w:customStyle="1" w:styleId="Heading1Char">
    <w:name w:val="Heading 1 Char"/>
    <w:basedOn w:val="DefaultParagraphFont"/>
    <w:link w:val="Heading1"/>
    <w:rsid w:val="00537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5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5C8"/>
    <w:rPr>
      <w:b/>
      <w:spacing w:val="0"/>
    </w:rPr>
  </w:style>
  <w:style w:type="paragraph" w:styleId="ListBullet2">
    <w:name w:val="List Bullet 2"/>
    <w:basedOn w:val="List2"/>
    <w:rsid w:val="005375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75C8"/>
    <w:rPr>
      <w:i/>
    </w:rPr>
  </w:style>
  <w:style w:type="paragraph" w:customStyle="1" w:styleId="SuperHeading">
    <w:name w:val="SuperHeading"/>
    <w:basedOn w:val="Normal"/>
    <w:rsid w:val="00537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5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5C8"/>
  </w:style>
  <w:style w:type="paragraph" w:styleId="TableofFigures">
    <w:name w:val="table of figures"/>
    <w:basedOn w:val="Normal"/>
    <w:next w:val="Normal"/>
    <w:semiHidden/>
    <w:rsid w:val="00537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5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5C8"/>
    <w:rPr>
      <w:rFonts w:ascii="Wingdings" w:hAnsi="Wingdings"/>
    </w:rPr>
  </w:style>
  <w:style w:type="paragraph" w:customStyle="1" w:styleId="TableHeading">
    <w:name w:val="Table Heading"/>
    <w:basedOn w:val="HeadingBase"/>
    <w:rsid w:val="00537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5C8"/>
    <w:rPr>
      <w:color w:val="0033CC"/>
      <w:u w:val="none"/>
    </w:rPr>
  </w:style>
  <w:style w:type="paragraph" w:customStyle="1" w:styleId="BodyTextRight">
    <w:name w:val="Body Text Right"/>
    <w:basedOn w:val="BodyText"/>
    <w:rsid w:val="00537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5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5C8"/>
    <w:rPr>
      <w:sz w:val="32"/>
    </w:rPr>
  </w:style>
  <w:style w:type="paragraph" w:customStyle="1" w:styleId="HeadingProcedure">
    <w:name w:val="Heading Procedure"/>
    <w:basedOn w:val="HeadingBase"/>
    <w:next w:val="Normal"/>
    <w:rsid w:val="00537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5C8"/>
    <w:pPr>
      <w:spacing w:before="60" w:after="60"/>
    </w:pPr>
  </w:style>
  <w:style w:type="paragraph" w:styleId="ListContinue">
    <w:name w:val="List Continue"/>
    <w:basedOn w:val="List"/>
    <w:rsid w:val="005375C8"/>
    <w:pPr>
      <w:ind w:firstLine="0"/>
    </w:pPr>
  </w:style>
  <w:style w:type="paragraph" w:customStyle="1" w:styleId="ListNote">
    <w:name w:val="List Note"/>
    <w:basedOn w:val="List"/>
    <w:rsid w:val="00537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5C8"/>
    <w:rPr>
      <w:rFonts w:ascii="Courier New" w:hAnsi="Courier New"/>
    </w:rPr>
  </w:style>
  <w:style w:type="paragraph" w:customStyle="1" w:styleId="NoteBullet">
    <w:name w:val="Note Bullet"/>
    <w:basedOn w:val="Note"/>
    <w:rsid w:val="00537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5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5C8"/>
    <w:rPr>
      <w:b/>
      <w:smallCaps/>
    </w:rPr>
  </w:style>
  <w:style w:type="paragraph" w:customStyle="1" w:styleId="TableListNumber">
    <w:name w:val="Table List Number"/>
    <w:basedOn w:val="ListNumber"/>
    <w:rsid w:val="00537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5C8"/>
    <w:pPr>
      <w:numPr>
        <w:numId w:val="9"/>
      </w:numPr>
    </w:pPr>
  </w:style>
  <w:style w:type="paragraph" w:customStyle="1" w:styleId="ListAlpha2">
    <w:name w:val="List Alpha 2"/>
    <w:basedOn w:val="List2"/>
    <w:rsid w:val="005375C8"/>
    <w:pPr>
      <w:numPr>
        <w:numId w:val="8"/>
      </w:numPr>
    </w:pPr>
  </w:style>
  <w:style w:type="paragraph" w:styleId="List2">
    <w:name w:val="List 2"/>
    <w:basedOn w:val="BodyText"/>
    <w:rsid w:val="00537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5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5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5C8"/>
    <w:pPr>
      <w:numPr>
        <w:numId w:val="4"/>
      </w:numPr>
    </w:pPr>
  </w:style>
  <w:style w:type="paragraph" w:styleId="ListContinue2">
    <w:name w:val="List Continue 2"/>
    <w:basedOn w:val="List2"/>
    <w:rsid w:val="005375C8"/>
    <w:pPr>
      <w:ind w:firstLine="0"/>
    </w:pPr>
  </w:style>
  <w:style w:type="paragraph" w:styleId="ListContinue3">
    <w:name w:val="List Continue 3"/>
    <w:basedOn w:val="List3"/>
    <w:rsid w:val="005375C8"/>
    <w:pPr>
      <w:ind w:left="1021" w:firstLine="0"/>
    </w:pPr>
  </w:style>
  <w:style w:type="paragraph" w:styleId="ListContinue4">
    <w:name w:val="List Continue 4"/>
    <w:basedOn w:val="List4"/>
    <w:rsid w:val="005375C8"/>
    <w:pPr>
      <w:ind w:firstLine="0"/>
    </w:pPr>
  </w:style>
  <w:style w:type="paragraph" w:styleId="ListContinue5">
    <w:name w:val="List Continue 5"/>
    <w:basedOn w:val="List5"/>
    <w:rsid w:val="005375C8"/>
    <w:pPr>
      <w:ind w:firstLine="0"/>
    </w:pPr>
  </w:style>
  <w:style w:type="paragraph" w:styleId="ListNumber3">
    <w:name w:val="List Number 3"/>
    <w:basedOn w:val="List3"/>
    <w:rsid w:val="005375C8"/>
    <w:pPr>
      <w:numPr>
        <w:numId w:val="5"/>
      </w:numPr>
    </w:pPr>
  </w:style>
  <w:style w:type="paragraph" w:styleId="ListNumber4">
    <w:name w:val="List Number 4"/>
    <w:basedOn w:val="List4"/>
    <w:rsid w:val="005375C8"/>
    <w:pPr>
      <w:numPr>
        <w:numId w:val="6"/>
      </w:numPr>
    </w:pPr>
  </w:style>
  <w:style w:type="paragraph" w:styleId="ListNumber5">
    <w:name w:val="List Number 5"/>
    <w:basedOn w:val="List5"/>
    <w:rsid w:val="005375C8"/>
    <w:pPr>
      <w:numPr>
        <w:numId w:val="7"/>
      </w:numPr>
    </w:pPr>
  </w:style>
  <w:style w:type="paragraph" w:styleId="BlockText">
    <w:name w:val="Block Text"/>
    <w:basedOn w:val="Normal"/>
    <w:rsid w:val="00537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5C8"/>
    <w:rPr>
      <w:sz w:val="16"/>
      <w:vertAlign w:val="superscript"/>
    </w:rPr>
  </w:style>
  <w:style w:type="character" w:customStyle="1" w:styleId="Symbols">
    <w:name w:val="Symbols"/>
    <w:basedOn w:val="DefaultParagraphFont"/>
    <w:rsid w:val="005375C8"/>
    <w:rPr>
      <w:rFonts w:ascii="Symbol" w:hAnsi="Symbol"/>
    </w:rPr>
  </w:style>
  <w:style w:type="character" w:customStyle="1" w:styleId="MenuOptions">
    <w:name w:val="Menu Options"/>
    <w:basedOn w:val="DefaultParagraphFont"/>
    <w:rsid w:val="00537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5C8"/>
    <w:rPr>
      <w:b/>
    </w:rPr>
  </w:style>
  <w:style w:type="character" w:customStyle="1" w:styleId="Underlined">
    <w:name w:val="Underlined"/>
    <w:basedOn w:val="DefaultParagraphFont"/>
    <w:rsid w:val="005375C8"/>
    <w:rPr>
      <w:u w:val="single"/>
    </w:rPr>
  </w:style>
  <w:style w:type="paragraph" w:customStyle="1" w:styleId="TableBodyTextRight">
    <w:name w:val="Table Body Text Right"/>
    <w:basedOn w:val="TableBodyText"/>
    <w:rsid w:val="00537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5C8"/>
    <w:rPr>
      <w:sz w:val="18"/>
    </w:rPr>
  </w:style>
  <w:style w:type="paragraph" w:customStyle="1" w:styleId="BodySmallRight">
    <w:name w:val="Body Small Right"/>
    <w:basedOn w:val="BodyTextRight"/>
    <w:rsid w:val="005375C8"/>
    <w:rPr>
      <w:sz w:val="18"/>
      <w:szCs w:val="18"/>
    </w:rPr>
  </w:style>
  <w:style w:type="paragraph" w:customStyle="1" w:styleId="MarginEdition">
    <w:name w:val="Margin Edition"/>
    <w:basedOn w:val="MarginNote"/>
    <w:rsid w:val="00537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5C8"/>
    <w:rPr>
      <w:sz w:val="2"/>
      <w:szCs w:val="2"/>
    </w:rPr>
  </w:style>
  <w:style w:type="character" w:customStyle="1" w:styleId="Small">
    <w:name w:val="Small"/>
    <w:basedOn w:val="DefaultParagraphFont"/>
    <w:rsid w:val="005375C8"/>
    <w:rPr>
      <w:sz w:val="16"/>
    </w:rPr>
  </w:style>
  <w:style w:type="paragraph" w:customStyle="1" w:styleId="WideTable">
    <w:name w:val="Wide Table"/>
    <w:basedOn w:val="Normal"/>
    <w:rsid w:val="00537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5C8"/>
  </w:style>
  <w:style w:type="paragraph" w:styleId="Quote">
    <w:name w:val="Quote"/>
    <w:basedOn w:val="Heading1"/>
    <w:link w:val="QuoteChar"/>
    <w:qFormat/>
    <w:rsid w:val="00537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5C8"/>
    <w:pPr>
      <w:pageBreakBefore/>
    </w:pPr>
  </w:style>
  <w:style w:type="paragraph" w:customStyle="1" w:styleId="Border">
    <w:name w:val="Border"/>
    <w:basedOn w:val="Normal"/>
    <w:qFormat/>
    <w:rsid w:val="00537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5C8"/>
    <w:rPr>
      <w:u w:val="single"/>
    </w:rPr>
  </w:style>
  <w:style w:type="character" w:customStyle="1" w:styleId="BoldandItalics">
    <w:name w:val="Bold and Italics"/>
    <w:qFormat/>
    <w:rsid w:val="005375C8"/>
    <w:rPr>
      <w:b/>
      <w:i/>
      <w:u w:val="none"/>
    </w:rPr>
  </w:style>
  <w:style w:type="paragraph" w:styleId="BalloonText">
    <w:name w:val="Balloon Text"/>
    <w:basedOn w:val="Normal"/>
    <w:link w:val="BalloonTextChar"/>
    <w:rsid w:val="00537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5C8"/>
    <w:pPr>
      <w:spacing w:before="0" w:after="0"/>
    </w:pPr>
  </w:style>
  <w:style w:type="paragraph" w:customStyle="1" w:styleId="BodyTextBold">
    <w:name w:val="Body Text Bold"/>
    <w:basedOn w:val="BodyText"/>
    <w:qFormat/>
    <w:rsid w:val="005375C8"/>
    <w:rPr>
      <w:b/>
    </w:rPr>
  </w:style>
  <w:style w:type="character" w:styleId="Hyperlink">
    <w:name w:val="Hyperlink"/>
    <w:basedOn w:val="DefaultParagraphFont"/>
    <w:uiPriority w:val="99"/>
    <w:unhideWhenUsed/>
    <w:rsid w:val="00E47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7981</Characters>
  <Application>Microsoft Office Word</Application>
  <DocSecurity>0</DocSecurity>
  <Lines>266</Lines>
  <Paragraphs>153</Paragraphs>
  <ScaleCrop>false</ScaleCrop>
  <Company>Author-it Software Corporation Ltd.</Company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ICTOPN501 Plan and configure dense wavelength division multiplexing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