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60D" w:rsidP="007846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ICTOPN405 Install and test a dense wavelength division multiplexing system</w:t>
      </w:r>
      <w:r>
        <w:fldChar w:fldCharType="end"/>
      </w:r>
    </w:p>
    <w:p w:rsidR="0078460D" w:rsidP="0078460D">
      <w:pPr>
        <w:pStyle w:val="Version"/>
        <w:sectPr w:rsidSect="00E35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178" w:rsidP="00E35178">
      <w:pPr>
        <w:pStyle w:val="SuperHeading"/>
      </w:pPr>
      <w:r w:rsidRPr="00E35178">
        <w:t>ICTOPN405 Install and test a dense wavelength division multiplexing system</w:t>
      </w:r>
    </w:p>
    <w:p w:rsidR="00000000" w:rsidRPr="00E35178" w:rsidP="00E35178">
      <w:pPr>
        <w:pStyle w:val="Heading1"/>
      </w:pPr>
      <w:bookmarkStart w:id="1" w:name="O_1042962"/>
      <w:bookmarkEnd w:id="1"/>
      <w:r w:rsidRPr="00E351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E351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rPr>
                <w:rStyle w:val="SpecialBold"/>
              </w:rPr>
              <w:t>Comments</w:t>
            </w:r>
          </w:p>
        </w:tc>
      </w:tr>
      <w:tr w:rsidTr="00E351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t>This version released with ICT Information and Communications Technology Training Package Version 5.0.</w:t>
            </w:r>
          </w:p>
        </w:tc>
      </w:tr>
    </w:tbl>
    <w:p w:rsidR="00000000" w:rsidRPr="00E35178" w:rsidP="00E35178">
      <w:pPr>
        <w:pStyle w:val="BodyText"/>
      </w:pPr>
    </w:p>
    <w:p w:rsidR="00000000" w:rsidRPr="00E35178" w:rsidP="00E35178">
      <w:pPr>
        <w:pStyle w:val="AllowPageBreak"/>
      </w:pPr>
    </w:p>
    <w:p w:rsidR="00000000" w:rsidRPr="00E35178" w:rsidP="00E35178">
      <w:pPr>
        <w:pStyle w:val="Heading1"/>
      </w:pPr>
      <w:bookmarkStart w:id="2" w:name="O_1042967"/>
      <w:bookmarkEnd w:id="2"/>
      <w:r w:rsidRPr="00E35178">
        <w:t>Application</w:t>
      </w:r>
    </w:p>
    <w:p w:rsidR="00000000" w:rsidRPr="00E35178" w:rsidP="0078460D">
      <w:pPr>
        <w:pStyle w:val="BodyText"/>
      </w:pPr>
      <w:r w:rsidRPr="00E35178">
        <w:t>This unit describes the skills and knowledge required to install dense wavelength division multiplexing (DWDM) equipment in optical networks.</w:t>
      </w:r>
    </w:p>
    <w:p w:rsidR="00000000" w:rsidRPr="00E35178" w:rsidP="0078460D">
      <w:pPr>
        <w:pStyle w:val="BodyText"/>
      </w:pPr>
      <w:r w:rsidRPr="00E35178">
        <w:t>It applies to technicians who interpret installation manuals and use technical skill</w:t>
      </w:r>
      <w:r w:rsidRPr="00E35178">
        <w:t>s to prepare for and conduct system tests and commissioning.</w:t>
      </w:r>
    </w:p>
    <w:p w:rsidR="00000000" w:rsidRPr="00E35178" w:rsidP="0078460D">
      <w:pPr>
        <w:pStyle w:val="BodyText"/>
      </w:pPr>
      <w:r w:rsidRPr="00E35178">
        <w:t>No licensing, legislative or certification requirements apply to this unit at the time of publication.</w:t>
      </w:r>
    </w:p>
    <w:p w:rsidR="00000000" w:rsidRPr="00E35178" w:rsidP="00E35178">
      <w:pPr>
        <w:pStyle w:val="Heading1"/>
      </w:pPr>
      <w:bookmarkStart w:id="3" w:name="O_1042966"/>
      <w:bookmarkEnd w:id="3"/>
      <w:r w:rsidRPr="00E35178">
        <w:t>Unit Sector</w:t>
      </w:r>
    </w:p>
    <w:p w:rsidR="0078460D" w:rsidP="0078460D">
      <w:pPr>
        <w:pStyle w:val="BodyText"/>
      </w:pPr>
      <w:r w:rsidRPr="00E35178">
        <w:t>Telecommunications – Optical Networks</w:t>
      </w:r>
    </w:p>
    <w:p w:rsidR="00000000" w:rsidRPr="00E35178" w:rsidP="00E35178">
      <w:pPr>
        <w:pStyle w:val="Heading1"/>
      </w:pPr>
      <w:bookmarkStart w:id="4" w:name="O_1042965"/>
      <w:bookmarkEnd w:id="4"/>
      <w:r w:rsidRPr="00E35178">
        <w:t>Ele</w:t>
      </w:r>
      <w:r w:rsidRPr="00E35178">
        <w:t>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7"/>
        <w:gridCol w:w="7221"/>
      </w:tblGrid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rPr>
                <w:rStyle w:val="SpecialBold"/>
              </w:rPr>
              <w:t>Element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rPr>
                <w:rStyle w:val="SpecialBold"/>
              </w:rPr>
              <w:t>Performance Criteria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rPr>
                <w:rStyle w:val="Emphasis"/>
              </w:rPr>
              <w:t>Elements describe the essential outcomes.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1. Prepare to install DWDM units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t>1.1 Determine number of racks and DWDM units at each site according to installation documents</w:t>
            </w:r>
          </w:p>
          <w:p w:rsidR="00000000" w:rsidRPr="00E35178" w:rsidP="00E35178">
            <w:pPr>
              <w:pStyle w:val="BodyText"/>
            </w:pPr>
            <w:r w:rsidRPr="00E35178">
              <w:t>1.2 Determine DWDM unit and equipment positions within individual racks</w:t>
            </w:r>
          </w:p>
          <w:p w:rsidR="00000000" w:rsidRPr="00E35178" w:rsidP="00E35178">
            <w:pPr>
              <w:pStyle w:val="BodyText"/>
            </w:pPr>
            <w:r w:rsidRPr="00E35178">
              <w:t>1.3 Assemble equipment racks according to safe industry practice and manufacturer instruct</w:t>
            </w:r>
            <w:r w:rsidRPr="00E35178">
              <w:t>ions</w:t>
            </w:r>
          </w:p>
          <w:p w:rsidR="00000000" w:rsidRPr="00E35178" w:rsidP="00E35178">
            <w:pPr>
              <w:pStyle w:val="BodyText"/>
            </w:pPr>
            <w:r w:rsidRPr="00E35178">
              <w:t>1.4 Select tools and equipment for DWDM unit installation</w:t>
            </w:r>
          </w:p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1.5 Prepare patch panels with connectors according to installation plan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2. Install DWDM units and associated cabling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t xml:space="preserve">2.1 Install DWDM unit in designated rack position to maintain planned link </w:t>
            </w:r>
            <w:r w:rsidRPr="00E35178">
              <w:t>budget margin</w:t>
            </w:r>
          </w:p>
          <w:p w:rsidR="00000000" w:rsidRPr="00E35178" w:rsidP="00E35178">
            <w:pPr>
              <w:pStyle w:val="BodyText"/>
            </w:pPr>
            <w:r w:rsidRPr="00E35178">
              <w:t>2.2 Install patch panels and ancillary equipment and connections into equipment rack in preparation for commissioning procedures</w:t>
            </w:r>
          </w:p>
          <w:p w:rsidR="00000000" w:rsidRPr="00E35178" w:rsidP="00E35178">
            <w:pPr>
              <w:pStyle w:val="BodyText"/>
            </w:pPr>
            <w:r w:rsidRPr="00E35178">
              <w:t xml:space="preserve">2.3 Insert circuit cards into specified slot locations in readiness for commissioning procedures without seating </w:t>
            </w:r>
            <w:r w:rsidRPr="00E35178">
              <w:t>cards into backplane or locking into position</w:t>
            </w:r>
          </w:p>
          <w:p w:rsidR="00000000" w:rsidRPr="00E35178" w:rsidP="00E35178">
            <w:pPr>
              <w:pStyle w:val="BodyText"/>
            </w:pPr>
            <w:r w:rsidRPr="00E35178">
              <w:t>2.4 Connect optical fibre cables between circuit cards, optical multiplexers, adjoining DWDM units and patch panels, according to manufacturer specifications</w:t>
            </w:r>
          </w:p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2.5 Seat cards into backplane and lock into position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3. Test power connections and complete installation report</w:t>
            </w:r>
          </w:p>
        </w:tc>
        <w:tc>
          <w:tcPr>
            <w:tcW w:w="7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t>3.1 Measure main and redundant power supplies to verify correct polarity of ground and power connections</w:t>
            </w:r>
          </w:p>
          <w:p w:rsidR="00000000" w:rsidRPr="00E35178" w:rsidP="00E35178">
            <w:pPr>
              <w:pStyle w:val="BodyText"/>
            </w:pPr>
            <w:r w:rsidRPr="00E35178">
              <w:t>3.2 Rectify any identified power wiring fault as required</w:t>
            </w:r>
          </w:p>
          <w:p w:rsidR="00000000" w:rsidRPr="00E35178" w:rsidP="00E35178">
            <w:pPr>
              <w:pStyle w:val="BodyText"/>
            </w:pPr>
            <w:r w:rsidRPr="00E35178">
              <w:t>3.3 Confirm cooling fans, panel lights, indicator lights and alarms behave according to manufacturer prescribed specifications when power is applied</w:t>
            </w:r>
          </w:p>
          <w:p w:rsidR="00000000" w:rsidRPr="00E35178" w:rsidP="00E35178">
            <w:pPr>
              <w:pStyle w:val="BodyText"/>
            </w:pPr>
            <w:r w:rsidRPr="00E35178">
              <w:t>3.4 Complete installation report and reinstate site</w:t>
            </w:r>
          </w:p>
        </w:tc>
      </w:tr>
    </w:tbl>
    <w:p w:rsidR="00000000" w:rsidRPr="00E35178" w:rsidP="00E35178">
      <w:pPr>
        <w:pStyle w:val="BodyText"/>
      </w:pPr>
    </w:p>
    <w:p w:rsidR="00000000" w:rsidRPr="00E35178" w:rsidP="00E35178">
      <w:pPr>
        <w:pStyle w:val="AllowPageBreak"/>
      </w:pPr>
    </w:p>
    <w:p w:rsidR="00000000" w:rsidRPr="00E35178" w:rsidP="00E35178">
      <w:pPr>
        <w:pStyle w:val="Heading1"/>
      </w:pPr>
      <w:bookmarkStart w:id="5" w:name="O_1042964"/>
      <w:bookmarkEnd w:id="5"/>
      <w:r w:rsidRPr="00E35178">
        <w:t>Foundation Skills</w:t>
      </w:r>
    </w:p>
    <w:p w:rsidR="00000000" w:rsidRPr="0078460D" w:rsidP="0078460D">
      <w:pPr>
        <w:pStyle w:val="BodyText"/>
        <w:rPr>
          <w:i/>
        </w:rPr>
      </w:pPr>
      <w:r w:rsidRPr="0078460D">
        <w:rPr>
          <w:rStyle w:val="Emphasis"/>
        </w:rPr>
        <w:t>This section des</w:t>
      </w:r>
      <w:r w:rsidRPr="0078460D">
        <w:rPr>
          <w:rStyle w:val="Emphasis"/>
        </w:rPr>
        <w:t>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"/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BodyText"/>
            </w:pPr>
            <w:r w:rsidRPr="00E35178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rPr>
                <w:rStyle w:val="SpecialBold"/>
              </w:rPr>
              <w:t>Description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ListBullet"/>
              <w:rPr>
                <w:lang w:val="en-NZ"/>
              </w:rPr>
            </w:pPr>
            <w:r w:rsidRPr="00E35178">
              <w:t>Interprets textual information from relevant sources to identify and adhere to proc</w:t>
            </w:r>
            <w:r w:rsidRPr="00E35178">
              <w:t>edures and standards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ListBullet"/>
              <w:rPr>
                <w:lang w:val="en-NZ"/>
              </w:rPr>
            </w:pPr>
            <w:r w:rsidRPr="00E35178">
              <w:t>Uses clear, specific and industry related terminology to complete and update workplace documentation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ListBullet"/>
              <w:rPr>
                <w:lang w:val="en-NZ"/>
              </w:rPr>
            </w:pPr>
            <w:r w:rsidRPr="00E35178">
              <w:t>Uses mathematical formulae to calculate measurements and determine equipment requirements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Navigate the world of work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ListBullet"/>
            </w:pPr>
            <w:r w:rsidRPr="00E35178">
              <w:t>Recognises and follows explicit and implicit protocols and meets expectations associated with own role</w:t>
            </w:r>
          </w:p>
          <w:p w:rsidR="00000000" w:rsidP="00E35178">
            <w:pPr>
              <w:pStyle w:val="ListBullet"/>
              <w:rPr>
                <w:lang w:val="en-NZ"/>
              </w:rPr>
            </w:pPr>
            <w:r w:rsidRPr="00E35178">
              <w:t>Takes personal responsibility for adherence to legal and regulatory responsibilities relevant to own work context with specif</w:t>
            </w:r>
            <w:r w:rsidRPr="00E35178">
              <w:t>ic reference to workplace safety</w:t>
            </w:r>
          </w:p>
        </w:tc>
      </w:tr>
      <w:tr w:rsidTr="00E351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5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178">
            <w:pPr>
              <w:pStyle w:val="BodyText"/>
              <w:rPr>
                <w:lang w:val="en-NZ"/>
              </w:rPr>
            </w:pPr>
            <w:r w:rsidRPr="00E35178">
              <w:t>Get the work done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178" w:rsidP="00E35178">
            <w:pPr>
              <w:pStyle w:val="ListBullet"/>
            </w:pPr>
            <w:r w:rsidRPr="00E35178">
              <w:t>Implements actions according to installation documents, making slight adjustments if necessary and addressing some unexpected issues</w:t>
            </w:r>
          </w:p>
          <w:p w:rsidR="00000000" w:rsidRPr="00E35178" w:rsidP="00E35178">
            <w:pPr>
              <w:pStyle w:val="ListBullet"/>
            </w:pPr>
            <w:r w:rsidRPr="00E35178">
              <w:t>Takes responsibility for routine decision-making by selecting from a r</w:t>
            </w:r>
            <w:r w:rsidRPr="00E35178">
              <w:t>ange of predetermined options in routine situations, identifying and taking some situational factors into account</w:t>
            </w:r>
          </w:p>
          <w:p w:rsidR="00000000" w:rsidRPr="00E35178" w:rsidP="00E35178">
            <w:pPr>
              <w:pStyle w:val="ListBullet"/>
            </w:pPr>
            <w:r w:rsidRPr="00E35178">
              <w:t>Initiates standard procedures when responding to familiar problems within immediate context</w:t>
            </w:r>
          </w:p>
          <w:p w:rsidR="00000000" w:rsidRPr="00E35178" w:rsidP="00E35178">
            <w:pPr>
              <w:pStyle w:val="ListBullet"/>
            </w:pPr>
            <w:r w:rsidRPr="00E35178">
              <w:t>Reflects on the ways digital systems and tools are</w:t>
            </w:r>
            <w:r w:rsidRPr="00E35178">
              <w:t xml:space="preserve"> used, or could be used to achieve work goals and begins to recognise strategic and operational applications</w:t>
            </w:r>
          </w:p>
        </w:tc>
      </w:tr>
    </w:tbl>
    <w:p w:rsidR="00000000" w:rsidRPr="00E35178" w:rsidP="00E35178">
      <w:pPr>
        <w:pStyle w:val="BodyText"/>
      </w:pPr>
    </w:p>
    <w:p w:rsidR="00000000" w:rsidRPr="00E35178" w:rsidP="00E35178">
      <w:pPr>
        <w:pStyle w:val="AllowPageBreak"/>
      </w:pPr>
    </w:p>
    <w:p w:rsidR="00000000" w:rsidRPr="00E35178" w:rsidP="00E35178">
      <w:pPr>
        <w:pStyle w:val="Heading1"/>
      </w:pPr>
      <w:bookmarkStart w:id="6" w:name="O_1042963"/>
      <w:bookmarkEnd w:id="6"/>
      <w:r w:rsidRPr="00E35178">
        <w:t>Unit Mapping Information</w:t>
      </w:r>
    </w:p>
    <w:p w:rsidR="00000000" w:rsidRPr="00E35178" w:rsidP="0078460D">
      <w:pPr>
        <w:pStyle w:val="BodyText"/>
      </w:pPr>
      <w:r w:rsidRPr="00E35178">
        <w:t>ICTOPN405 Install and test a dense wavelength division multiplexing sys</w:t>
      </w:r>
      <w:r w:rsidRPr="00E35178">
        <w:t>tem supersedes and is equivalent to ICTOPN401 Install and test a dense wavelength division multiplexing system.</w:t>
      </w:r>
    </w:p>
    <w:p w:rsidR="00000000" w:rsidRPr="00E35178" w:rsidP="00E35178">
      <w:pPr>
        <w:pStyle w:val="Heading1"/>
      </w:pPr>
      <w:bookmarkStart w:id="7" w:name="O_1042956"/>
      <w:bookmarkEnd w:id="7"/>
      <w:r w:rsidRPr="00E35178">
        <w:t>Links</w:t>
      </w:r>
    </w:p>
    <w:p w:rsidR="00000000" w:rsidRPr="00E35178" w:rsidP="0078460D">
      <w:pPr>
        <w:pStyle w:val="BodyText"/>
      </w:pPr>
      <w:r w:rsidRPr="00E3517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377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35178" w:rsidP="00E35178"/>
    <w:sectPr w:rsidSect="00E35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8" w:rsidRPr="0078460D" w:rsidP="007846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D" w:rsidP="00E35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60D" w:rsidP="00E35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8460D" w:rsidP="00E35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178" w:rsidRPr="0078460D" w:rsidP="007846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60D" w:rsidRPr="002D2AF8" w:rsidP="00E35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ICTOPN405 Install and test a dense wavelength division multiplexing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78460D" w:rsidP="00E35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002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665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178"/>
  </w:style>
  <w:style w:type="character" w:customStyle="1" w:styleId="Heading1Char">
    <w:name w:val="Heading 1 Char"/>
    <w:basedOn w:val="DefaultParagraphFont"/>
    <w:link w:val="Heading1"/>
    <w:rsid w:val="00E35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1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178"/>
    <w:rPr>
      <w:b/>
      <w:spacing w:val="0"/>
    </w:rPr>
  </w:style>
  <w:style w:type="character" w:styleId="Emphasis">
    <w:name w:val="Emphasis"/>
    <w:basedOn w:val="DefaultParagraphFont"/>
    <w:qFormat/>
    <w:rsid w:val="00E35178"/>
    <w:rPr>
      <w:i/>
    </w:rPr>
  </w:style>
  <w:style w:type="paragraph" w:customStyle="1" w:styleId="SuperHeading">
    <w:name w:val="SuperHeading"/>
    <w:basedOn w:val="Normal"/>
    <w:rsid w:val="00E35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1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5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178"/>
  </w:style>
  <w:style w:type="paragraph" w:styleId="TableofFigures">
    <w:name w:val="table of figures"/>
    <w:basedOn w:val="Normal"/>
    <w:next w:val="Normal"/>
    <w:semiHidden/>
    <w:rsid w:val="00E35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1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178"/>
    <w:rPr>
      <w:rFonts w:ascii="Wingdings" w:hAnsi="Wingdings"/>
    </w:rPr>
  </w:style>
  <w:style w:type="paragraph" w:customStyle="1" w:styleId="TableHeading">
    <w:name w:val="Table Heading"/>
    <w:basedOn w:val="HeadingBase"/>
    <w:rsid w:val="00E35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178"/>
    <w:rPr>
      <w:color w:val="0033CC"/>
      <w:u w:val="none"/>
    </w:rPr>
  </w:style>
  <w:style w:type="paragraph" w:customStyle="1" w:styleId="BodyTextRight">
    <w:name w:val="Body Text Right"/>
    <w:basedOn w:val="BodyText"/>
    <w:rsid w:val="00E35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1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178"/>
    <w:rPr>
      <w:sz w:val="32"/>
    </w:rPr>
  </w:style>
  <w:style w:type="paragraph" w:customStyle="1" w:styleId="HeadingProcedure">
    <w:name w:val="Heading Procedure"/>
    <w:basedOn w:val="HeadingBase"/>
    <w:next w:val="Normal"/>
    <w:rsid w:val="00E35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178"/>
    <w:pPr>
      <w:spacing w:before="60" w:after="60"/>
    </w:pPr>
  </w:style>
  <w:style w:type="paragraph" w:styleId="ListContinue">
    <w:name w:val="List Continue"/>
    <w:basedOn w:val="List"/>
    <w:rsid w:val="00E35178"/>
    <w:pPr>
      <w:ind w:firstLine="0"/>
    </w:pPr>
  </w:style>
  <w:style w:type="paragraph" w:customStyle="1" w:styleId="ListNote">
    <w:name w:val="List Note"/>
    <w:basedOn w:val="List"/>
    <w:rsid w:val="00E35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178"/>
    <w:rPr>
      <w:rFonts w:ascii="Courier New" w:hAnsi="Courier New"/>
    </w:rPr>
  </w:style>
  <w:style w:type="paragraph" w:customStyle="1" w:styleId="NoteBullet">
    <w:name w:val="Note Bullet"/>
    <w:basedOn w:val="Note"/>
    <w:rsid w:val="00E35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178"/>
    <w:rPr>
      <w:b/>
      <w:smallCaps/>
    </w:rPr>
  </w:style>
  <w:style w:type="paragraph" w:customStyle="1" w:styleId="TableListNumber">
    <w:name w:val="Table List Number"/>
    <w:basedOn w:val="ListNumber"/>
    <w:rsid w:val="00E35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178"/>
    <w:pPr>
      <w:numPr>
        <w:numId w:val="8"/>
      </w:numPr>
    </w:pPr>
  </w:style>
  <w:style w:type="paragraph" w:customStyle="1" w:styleId="ListAlpha2">
    <w:name w:val="List Alpha 2"/>
    <w:basedOn w:val="List2"/>
    <w:rsid w:val="00E35178"/>
    <w:pPr>
      <w:numPr>
        <w:numId w:val="7"/>
      </w:numPr>
    </w:pPr>
  </w:style>
  <w:style w:type="paragraph" w:styleId="List2">
    <w:name w:val="List 2"/>
    <w:basedOn w:val="BodyText"/>
    <w:rsid w:val="00E35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1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178"/>
    <w:pPr>
      <w:numPr>
        <w:numId w:val="3"/>
      </w:numPr>
    </w:pPr>
  </w:style>
  <w:style w:type="paragraph" w:styleId="ListContinue2">
    <w:name w:val="List Continue 2"/>
    <w:basedOn w:val="List2"/>
    <w:rsid w:val="00E35178"/>
    <w:pPr>
      <w:ind w:firstLine="0"/>
    </w:pPr>
  </w:style>
  <w:style w:type="paragraph" w:styleId="ListContinue3">
    <w:name w:val="List Continue 3"/>
    <w:basedOn w:val="List3"/>
    <w:rsid w:val="00E35178"/>
    <w:pPr>
      <w:ind w:left="1021" w:firstLine="0"/>
    </w:pPr>
  </w:style>
  <w:style w:type="paragraph" w:styleId="ListContinue4">
    <w:name w:val="List Continue 4"/>
    <w:basedOn w:val="List4"/>
    <w:rsid w:val="00E35178"/>
    <w:pPr>
      <w:ind w:firstLine="0"/>
    </w:pPr>
  </w:style>
  <w:style w:type="paragraph" w:styleId="ListContinue5">
    <w:name w:val="List Continue 5"/>
    <w:basedOn w:val="List5"/>
    <w:rsid w:val="00E35178"/>
    <w:pPr>
      <w:ind w:firstLine="0"/>
    </w:pPr>
  </w:style>
  <w:style w:type="paragraph" w:styleId="ListNumber3">
    <w:name w:val="List Number 3"/>
    <w:basedOn w:val="List3"/>
    <w:rsid w:val="00E35178"/>
    <w:pPr>
      <w:numPr>
        <w:numId w:val="4"/>
      </w:numPr>
    </w:pPr>
  </w:style>
  <w:style w:type="paragraph" w:styleId="ListNumber4">
    <w:name w:val="List Number 4"/>
    <w:basedOn w:val="List4"/>
    <w:rsid w:val="00E35178"/>
    <w:pPr>
      <w:numPr>
        <w:numId w:val="5"/>
      </w:numPr>
    </w:pPr>
  </w:style>
  <w:style w:type="paragraph" w:styleId="ListNumber5">
    <w:name w:val="List Number 5"/>
    <w:basedOn w:val="List5"/>
    <w:rsid w:val="00E35178"/>
    <w:pPr>
      <w:numPr>
        <w:numId w:val="6"/>
      </w:numPr>
    </w:pPr>
  </w:style>
  <w:style w:type="paragraph" w:styleId="BlockText">
    <w:name w:val="Block Text"/>
    <w:basedOn w:val="Normal"/>
    <w:rsid w:val="00E35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178"/>
    <w:rPr>
      <w:sz w:val="16"/>
      <w:vertAlign w:val="superscript"/>
    </w:rPr>
  </w:style>
  <w:style w:type="character" w:customStyle="1" w:styleId="Symbols">
    <w:name w:val="Symbols"/>
    <w:basedOn w:val="DefaultParagraphFont"/>
    <w:rsid w:val="00E35178"/>
    <w:rPr>
      <w:rFonts w:ascii="Symbol" w:hAnsi="Symbol"/>
    </w:rPr>
  </w:style>
  <w:style w:type="character" w:customStyle="1" w:styleId="MenuOptions">
    <w:name w:val="Menu Options"/>
    <w:basedOn w:val="DefaultParagraphFont"/>
    <w:rsid w:val="00E35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178"/>
    <w:rPr>
      <w:b/>
    </w:rPr>
  </w:style>
  <w:style w:type="character" w:customStyle="1" w:styleId="Underlined">
    <w:name w:val="Underlined"/>
    <w:basedOn w:val="DefaultParagraphFont"/>
    <w:rsid w:val="00E35178"/>
    <w:rPr>
      <w:u w:val="single"/>
    </w:rPr>
  </w:style>
  <w:style w:type="paragraph" w:customStyle="1" w:styleId="TableBodyTextRight">
    <w:name w:val="Table Body Text Right"/>
    <w:basedOn w:val="TableBodyText"/>
    <w:rsid w:val="00E35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178"/>
    <w:rPr>
      <w:sz w:val="18"/>
    </w:rPr>
  </w:style>
  <w:style w:type="paragraph" w:customStyle="1" w:styleId="BodySmallRight">
    <w:name w:val="Body Small Right"/>
    <w:basedOn w:val="BodyTextRight"/>
    <w:rsid w:val="00E35178"/>
    <w:rPr>
      <w:sz w:val="18"/>
      <w:szCs w:val="18"/>
    </w:rPr>
  </w:style>
  <w:style w:type="paragraph" w:customStyle="1" w:styleId="MarginEdition">
    <w:name w:val="Margin Edition"/>
    <w:basedOn w:val="MarginNote"/>
    <w:rsid w:val="00E35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178"/>
    <w:rPr>
      <w:sz w:val="2"/>
      <w:szCs w:val="2"/>
    </w:rPr>
  </w:style>
  <w:style w:type="character" w:customStyle="1" w:styleId="Small">
    <w:name w:val="Small"/>
    <w:basedOn w:val="DefaultParagraphFont"/>
    <w:rsid w:val="00E35178"/>
    <w:rPr>
      <w:sz w:val="16"/>
    </w:rPr>
  </w:style>
  <w:style w:type="paragraph" w:customStyle="1" w:styleId="WideTable">
    <w:name w:val="Wide Table"/>
    <w:basedOn w:val="Normal"/>
    <w:rsid w:val="00E35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178"/>
  </w:style>
  <w:style w:type="paragraph" w:styleId="Quote">
    <w:name w:val="Quote"/>
    <w:basedOn w:val="Heading1"/>
    <w:link w:val="QuoteChar"/>
    <w:qFormat/>
    <w:rsid w:val="00E35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178"/>
    <w:pPr>
      <w:pageBreakBefore/>
    </w:pPr>
  </w:style>
  <w:style w:type="paragraph" w:customStyle="1" w:styleId="Border">
    <w:name w:val="Border"/>
    <w:basedOn w:val="Normal"/>
    <w:qFormat/>
    <w:rsid w:val="00E35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178"/>
    <w:rPr>
      <w:u w:val="single"/>
    </w:rPr>
  </w:style>
  <w:style w:type="character" w:customStyle="1" w:styleId="BoldandItalics">
    <w:name w:val="Bold and Italics"/>
    <w:qFormat/>
    <w:rsid w:val="00E35178"/>
    <w:rPr>
      <w:b/>
      <w:i/>
      <w:u w:val="none"/>
    </w:rPr>
  </w:style>
  <w:style w:type="paragraph" w:styleId="BalloonText">
    <w:name w:val="Balloon Text"/>
    <w:basedOn w:val="Normal"/>
    <w:link w:val="BalloonTextChar"/>
    <w:rsid w:val="00E3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178"/>
    <w:pPr>
      <w:spacing w:before="0" w:after="0"/>
    </w:pPr>
  </w:style>
  <w:style w:type="paragraph" w:customStyle="1" w:styleId="BodyTextBold">
    <w:name w:val="Body Text Bold"/>
    <w:basedOn w:val="BodyText"/>
    <w:qFormat/>
    <w:rsid w:val="00E35178"/>
    <w:rPr>
      <w:b/>
    </w:rPr>
  </w:style>
  <w:style w:type="character" w:styleId="Hyperlink">
    <w:name w:val="Hyperlink"/>
    <w:basedOn w:val="DefaultParagraphFont"/>
    <w:uiPriority w:val="99"/>
    <w:unhideWhenUsed/>
    <w:rsid w:val="007846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3805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ICTOPN405 Install and test a dense wavelength division multiplexing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