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C6A" w:rsidP="00DF6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ICTOPN405 Install and test a dense wavelength division multiplexing system</w:t>
      </w:r>
      <w:r>
        <w:fldChar w:fldCharType="end"/>
      </w:r>
    </w:p>
    <w:p w:rsidR="00DF6C6A" w:rsidP="00DF6C6A">
      <w:pPr>
        <w:pStyle w:val="Version"/>
        <w:sectPr w:rsidSect="00A57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117" w:rsidP="00A57117">
      <w:pPr>
        <w:pStyle w:val="SuperHeading"/>
      </w:pPr>
      <w:r w:rsidRPr="00A57117">
        <w:t>ICTOPN405 Install and test a dense wavelength division multiplexing system</w:t>
      </w:r>
    </w:p>
    <w:p w:rsidR="00000000" w:rsidRPr="00A57117" w:rsidP="00A57117">
      <w:pPr>
        <w:pStyle w:val="Heading1"/>
      </w:pPr>
      <w:bookmarkStart w:id="1" w:name="O_1042962"/>
      <w:bookmarkEnd w:id="1"/>
      <w:r w:rsidRPr="00A5711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A571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rPr>
                <w:rStyle w:val="SpecialBold"/>
              </w:rPr>
              <w:t>Comments</w:t>
            </w:r>
          </w:p>
        </w:tc>
      </w:tr>
      <w:tr w:rsidTr="00A571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t>This version released with ICT Information and Communications Technology Training Package Version 5.0.</w:t>
            </w:r>
          </w:p>
        </w:tc>
      </w:tr>
    </w:tbl>
    <w:p w:rsidR="00000000" w:rsidRPr="00A57117" w:rsidP="00A57117">
      <w:pPr>
        <w:pStyle w:val="BodyText"/>
      </w:pPr>
    </w:p>
    <w:p w:rsidR="00000000" w:rsidRPr="00A57117" w:rsidP="00A57117">
      <w:pPr>
        <w:pStyle w:val="AllowPageBreak"/>
      </w:pPr>
    </w:p>
    <w:p w:rsidR="00000000" w:rsidRPr="00A57117" w:rsidP="00A57117">
      <w:pPr>
        <w:pStyle w:val="Heading1"/>
      </w:pPr>
      <w:bookmarkStart w:id="2" w:name="O_1042967"/>
      <w:bookmarkEnd w:id="2"/>
      <w:r w:rsidRPr="00A57117">
        <w:t>Application</w:t>
      </w:r>
    </w:p>
    <w:p w:rsidR="00000000" w:rsidRPr="00A57117" w:rsidP="00DF6C6A">
      <w:pPr>
        <w:pStyle w:val="BodyText"/>
      </w:pPr>
      <w:r w:rsidRPr="00A57117">
        <w:t>This unit describes the skills and knowledge required to install dense wavelength division multiplexing (DWDM) equipment in optical networks.</w:t>
      </w:r>
    </w:p>
    <w:p w:rsidR="00000000" w:rsidRPr="00A57117" w:rsidP="00DF6C6A">
      <w:pPr>
        <w:pStyle w:val="BodyText"/>
      </w:pPr>
      <w:r w:rsidRPr="00A57117">
        <w:t>It applies to technicians who interpret installation manuals and use technical skill</w:t>
      </w:r>
      <w:r w:rsidRPr="00A57117">
        <w:t>s to prepare for and conduct system tests and commissioning.</w:t>
      </w:r>
    </w:p>
    <w:p w:rsidR="00000000" w:rsidRPr="00A57117" w:rsidP="00DF6C6A">
      <w:pPr>
        <w:pStyle w:val="BodyText"/>
      </w:pPr>
      <w:r w:rsidRPr="00A57117">
        <w:t>No licensing, legislative or certification requirements apply to this unit at the time of publication.</w:t>
      </w:r>
    </w:p>
    <w:p w:rsidR="00000000" w:rsidRPr="00A57117" w:rsidP="00A57117">
      <w:pPr>
        <w:pStyle w:val="Heading1"/>
      </w:pPr>
      <w:bookmarkStart w:id="3" w:name="O_1042966"/>
      <w:bookmarkEnd w:id="3"/>
      <w:r w:rsidRPr="00A57117">
        <w:t>Unit Sector</w:t>
      </w:r>
    </w:p>
    <w:p w:rsidR="00DF6C6A" w:rsidP="00DF6C6A">
      <w:pPr>
        <w:pStyle w:val="BodyText"/>
      </w:pPr>
      <w:r w:rsidRPr="00A57117">
        <w:t>Telecommunications – Optical Networks</w:t>
      </w:r>
    </w:p>
    <w:p w:rsidR="00000000" w:rsidRPr="00A57117" w:rsidP="00A57117">
      <w:pPr>
        <w:pStyle w:val="Heading1"/>
      </w:pPr>
      <w:bookmarkStart w:id="4" w:name="O_1042965"/>
      <w:bookmarkEnd w:id="4"/>
      <w:r w:rsidRPr="00A57117">
        <w:t>Ele</w:t>
      </w:r>
      <w:r w:rsidRPr="00A57117">
        <w:t>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7"/>
        <w:gridCol w:w="7221"/>
      </w:tblGrid>
      <w:tr w:rsidTr="00A571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Element</w:t>
            </w:r>
          </w:p>
        </w:tc>
        <w:tc>
          <w:tcPr>
            <w:tcW w:w="7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rPr>
                <w:rStyle w:val="SpecialBold"/>
              </w:rPr>
              <w:t>Performance Criteria</w:t>
            </w:r>
          </w:p>
        </w:tc>
      </w:tr>
      <w:tr w:rsidTr="00A571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Emphasis"/>
              </w:rPr>
              <w:t>Elements describe the essential outcomes.</w:t>
            </w:r>
          </w:p>
        </w:tc>
        <w:tc>
          <w:tcPr>
            <w:tcW w:w="7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1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1. Prepare to install DWDM units</w:t>
            </w:r>
          </w:p>
        </w:tc>
        <w:tc>
          <w:tcPr>
            <w:tcW w:w="7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t>1.1 Determine number of racks and DWDM units at each site according to installation documents</w:t>
            </w:r>
          </w:p>
          <w:p w:rsidR="00000000" w:rsidRPr="00A57117" w:rsidP="00A57117">
            <w:pPr>
              <w:pStyle w:val="BodyText"/>
            </w:pPr>
            <w:r w:rsidRPr="00A57117">
              <w:t>1.2 Determine DWDM unit and equipment positions within individual racks</w:t>
            </w:r>
          </w:p>
          <w:p w:rsidR="00000000" w:rsidRPr="00A57117" w:rsidP="00A57117">
            <w:pPr>
              <w:pStyle w:val="BodyText"/>
            </w:pPr>
            <w:r w:rsidRPr="00A57117">
              <w:t>1.3 Assemble equipment racks according to safe industry practice and manufacturer instruct</w:t>
            </w:r>
            <w:r w:rsidRPr="00A57117">
              <w:t>ions</w:t>
            </w:r>
          </w:p>
          <w:p w:rsidR="00000000" w:rsidRPr="00A57117" w:rsidP="00A57117">
            <w:pPr>
              <w:pStyle w:val="BodyText"/>
            </w:pPr>
            <w:r w:rsidRPr="00A57117">
              <w:t>1.4 Select tools and equipment for DWDM unit installation</w:t>
            </w:r>
          </w:p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1.5 Prepare patch panels with connectors according to installation plan</w:t>
            </w:r>
          </w:p>
        </w:tc>
      </w:tr>
      <w:tr w:rsidTr="00A571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2. Install DWDM units and associated cabling</w:t>
            </w:r>
          </w:p>
        </w:tc>
        <w:tc>
          <w:tcPr>
            <w:tcW w:w="7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t xml:space="preserve">2.1 Install DWDM unit in designated rack position to maintain planned link </w:t>
            </w:r>
            <w:r w:rsidRPr="00A57117">
              <w:t>budget margin</w:t>
            </w:r>
          </w:p>
          <w:p w:rsidR="00000000" w:rsidRPr="00A57117" w:rsidP="00A57117">
            <w:pPr>
              <w:pStyle w:val="BodyText"/>
            </w:pPr>
            <w:r w:rsidRPr="00A57117">
              <w:t>2.2 Install patch panels and ancillary equipment and connections into equipment rack in preparation for commissioning procedures</w:t>
            </w:r>
          </w:p>
          <w:p w:rsidR="00000000" w:rsidRPr="00A57117" w:rsidP="00A57117">
            <w:pPr>
              <w:pStyle w:val="BodyText"/>
            </w:pPr>
            <w:r w:rsidRPr="00A57117">
              <w:t xml:space="preserve">2.3 Insert circuit cards into specified slot locations in readiness for commissioning procedures without seating </w:t>
            </w:r>
            <w:r w:rsidRPr="00A57117">
              <w:t>cards into backplane or locking into position</w:t>
            </w:r>
          </w:p>
          <w:p w:rsidR="00000000" w:rsidRPr="00A57117" w:rsidP="00A57117">
            <w:pPr>
              <w:pStyle w:val="BodyText"/>
            </w:pPr>
            <w:r w:rsidRPr="00A57117">
              <w:t>2.4 Connect optical fibre cables between circuit cards, optical multiplexers, adjoining DWDM units and patch panels, according to manufacturer specifications</w:t>
            </w:r>
          </w:p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2.5 Seat cards into backplane and lock into position</w:t>
            </w:r>
          </w:p>
        </w:tc>
      </w:tr>
      <w:tr w:rsidTr="00A571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3. Test power connections and complete installation report</w:t>
            </w:r>
          </w:p>
        </w:tc>
        <w:tc>
          <w:tcPr>
            <w:tcW w:w="7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t>3.1 Measure main and redundant power supplies to verify correct polarity of ground and power connections</w:t>
            </w:r>
          </w:p>
          <w:p w:rsidR="00000000" w:rsidRPr="00A57117" w:rsidP="00A57117">
            <w:pPr>
              <w:pStyle w:val="BodyText"/>
            </w:pPr>
            <w:r w:rsidRPr="00A57117">
              <w:t>3.2 Rectify any identified power wiring fault as required</w:t>
            </w:r>
          </w:p>
          <w:p w:rsidR="00000000" w:rsidRPr="00A57117" w:rsidP="00A57117">
            <w:pPr>
              <w:pStyle w:val="BodyText"/>
            </w:pPr>
            <w:r w:rsidRPr="00A57117">
              <w:t xml:space="preserve">3.3 Confirm cooling fans, panel </w:t>
            </w:r>
            <w:r w:rsidRPr="00A57117">
              <w:t>lights, indicator lights and alarms behave according to manufacturer prescribed specifications when power is applied</w:t>
            </w:r>
          </w:p>
          <w:p w:rsidR="00000000" w:rsidRPr="00A57117" w:rsidP="00A57117">
            <w:pPr>
              <w:pStyle w:val="BodyText"/>
            </w:pPr>
            <w:r w:rsidRPr="00A57117">
              <w:t>3.4 Complete installation report and reinstate site</w:t>
            </w:r>
          </w:p>
        </w:tc>
      </w:tr>
    </w:tbl>
    <w:p w:rsidR="00000000" w:rsidRPr="00A57117" w:rsidP="00A57117">
      <w:pPr>
        <w:pStyle w:val="BodyText"/>
      </w:pPr>
    </w:p>
    <w:p w:rsidR="00000000" w:rsidRPr="00A57117" w:rsidP="00A57117">
      <w:pPr>
        <w:pStyle w:val="AllowPageBreak"/>
      </w:pPr>
    </w:p>
    <w:p w:rsidR="00000000" w:rsidRPr="00A57117" w:rsidP="00A57117">
      <w:pPr>
        <w:pStyle w:val="Heading1"/>
      </w:pPr>
      <w:bookmarkStart w:id="5" w:name="O_1042964"/>
      <w:bookmarkEnd w:id="5"/>
      <w:r w:rsidRPr="00A57117">
        <w:t>Foundation Skills</w:t>
      </w:r>
    </w:p>
    <w:p w:rsidR="00000000" w:rsidRPr="00DF6C6A" w:rsidP="00DF6C6A">
      <w:pPr>
        <w:pStyle w:val="BodyText"/>
        <w:rPr>
          <w:i/>
        </w:rPr>
      </w:pPr>
      <w:r w:rsidRPr="00DF6C6A">
        <w:rPr>
          <w:rStyle w:val="Emphasis"/>
        </w:rPr>
        <w:t>This section describes those language, literacy,</w:t>
      </w:r>
      <w:r w:rsidRPr="00DF6C6A">
        <w:rPr>
          <w:rStyle w:val="Emphasis"/>
        </w:rPr>
        <w:t xml:space="preserve">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A571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"/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rPr>
                <w:rStyle w:val="SpecialBold"/>
              </w:rPr>
              <w:t>Description</w:t>
            </w:r>
          </w:p>
        </w:tc>
      </w:tr>
      <w:tr w:rsidTr="00A571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ListBullet"/>
              <w:rPr>
                <w:lang w:val="en-NZ"/>
              </w:rPr>
            </w:pPr>
            <w:r w:rsidRPr="00A57117">
              <w:t>Interprets textual information from relevant sources to identify and adhere to procedures and standards</w:t>
            </w:r>
          </w:p>
        </w:tc>
      </w:tr>
      <w:tr w:rsidTr="00A571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ListBullet"/>
              <w:rPr>
                <w:lang w:val="en-NZ"/>
              </w:rPr>
            </w:pPr>
            <w:r w:rsidRPr="00A57117">
              <w:t>Uses clear, specific and industry related terminology to complete and update workplace documentation</w:t>
            </w:r>
          </w:p>
        </w:tc>
      </w:tr>
      <w:tr w:rsidTr="00A571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ListBullet"/>
              <w:rPr>
                <w:lang w:val="en-NZ"/>
              </w:rPr>
            </w:pPr>
            <w:r w:rsidRPr="00A57117">
              <w:t>Uses mathematical formulae to calculate measurements and determine equipment requirements</w:t>
            </w:r>
          </w:p>
        </w:tc>
      </w:tr>
      <w:tr w:rsidTr="00A571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ListBullet"/>
            </w:pPr>
            <w:r w:rsidRPr="00A57117">
              <w:t>Recognises and follows ex</w:t>
            </w:r>
            <w:r w:rsidRPr="00A57117">
              <w:t>plicit and implicit protocols and meets expectations associated with own role</w:t>
            </w:r>
          </w:p>
          <w:p w:rsidR="00000000" w:rsidP="00A57117">
            <w:pPr>
              <w:pStyle w:val="ListBullet"/>
              <w:rPr>
                <w:lang w:val="en-NZ"/>
              </w:rPr>
            </w:pPr>
            <w:r w:rsidRPr="00A57117">
              <w:t>Takes personal responsibility for adherence to legal and regulatory responsibilities relevant to own work context with specific reference to workplace safety</w:t>
            </w:r>
          </w:p>
        </w:tc>
      </w:tr>
      <w:tr w:rsidTr="00A571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ListBullet"/>
            </w:pPr>
            <w:r w:rsidRPr="00A57117">
              <w:t>Implements actions according to installation documents, making slight adjustments if necessary and addressing some unexpected issues</w:t>
            </w:r>
          </w:p>
          <w:p w:rsidR="00000000" w:rsidRPr="00A57117" w:rsidP="00A57117">
            <w:pPr>
              <w:pStyle w:val="ListBullet"/>
            </w:pPr>
            <w:r w:rsidRPr="00A57117">
              <w:t>Takes responsibility for routine decision-making by selecting from a range of predetermined options in routine situations, identifying and taking some situational factors into account</w:t>
            </w:r>
          </w:p>
          <w:p w:rsidR="00000000" w:rsidRPr="00A57117" w:rsidP="00A57117">
            <w:pPr>
              <w:pStyle w:val="ListBullet"/>
            </w:pPr>
            <w:r w:rsidRPr="00A57117">
              <w:t>Initiates standard procedures when responding to familiar problems withi</w:t>
            </w:r>
            <w:r w:rsidRPr="00A57117">
              <w:t>n immediate context</w:t>
            </w:r>
          </w:p>
          <w:p w:rsidR="00000000" w:rsidRPr="00A57117" w:rsidP="00A57117">
            <w:pPr>
              <w:pStyle w:val="ListBullet"/>
            </w:pPr>
            <w:r w:rsidRPr="00A57117">
              <w:t>Reflects on the ways digital systems and tools are used, or could be used to achieve work goals and begins to recognise strategic and operational applications</w:t>
            </w:r>
          </w:p>
        </w:tc>
      </w:tr>
    </w:tbl>
    <w:p w:rsidR="00000000" w:rsidRPr="00A57117" w:rsidP="00A57117">
      <w:pPr>
        <w:pStyle w:val="BodyText"/>
      </w:pPr>
    </w:p>
    <w:p w:rsidR="00000000" w:rsidRPr="00A57117" w:rsidP="00A57117">
      <w:pPr>
        <w:pStyle w:val="AllowPageBreak"/>
      </w:pPr>
    </w:p>
    <w:p w:rsidR="00000000" w:rsidRPr="00A57117" w:rsidP="00A57117">
      <w:pPr>
        <w:pStyle w:val="Heading1"/>
      </w:pPr>
      <w:bookmarkStart w:id="6" w:name="O_1042963"/>
      <w:bookmarkEnd w:id="6"/>
      <w:r w:rsidRPr="00A57117">
        <w:t>Unit Mapping Information</w:t>
      </w:r>
    </w:p>
    <w:p w:rsidR="00000000" w:rsidRPr="00A57117" w:rsidP="00DF6C6A">
      <w:pPr>
        <w:pStyle w:val="BodyText"/>
      </w:pPr>
      <w:r w:rsidRPr="00A57117">
        <w:t>ICTOPN405 Install and test a de</w:t>
      </w:r>
      <w:r w:rsidRPr="00A57117">
        <w:t>nse wavelength division multiplexing system supersedes and is equivalent to ICTOPN401 Install and test a dense wavelength division multiplexing system.</w:t>
      </w:r>
    </w:p>
    <w:p w:rsidR="00000000" w:rsidRPr="00A57117" w:rsidP="00A57117">
      <w:pPr>
        <w:pStyle w:val="Heading1"/>
      </w:pPr>
      <w:bookmarkStart w:id="7" w:name="O_1042956"/>
      <w:bookmarkEnd w:id="7"/>
      <w:r w:rsidRPr="00A57117">
        <w:t>Links</w:t>
      </w:r>
    </w:p>
    <w:p w:rsidR="00000000" w:rsidRPr="00A57117" w:rsidP="00DF6C6A">
      <w:pPr>
        <w:pStyle w:val="BodyText"/>
      </w:pPr>
      <w:r w:rsidRPr="00A5711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B5B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7117" w:rsidP="00DF6C6A">
      <w:pPr>
        <w:pStyle w:val="BodyText"/>
        <w:sectPr w:rsidSect="00A571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7117" w:rsidP="00A57117">
      <w:pPr>
        <w:pStyle w:val="SuperHeading"/>
      </w:pPr>
      <w:r w:rsidRPr="00A57117">
        <w:t>Assessment Requirements for ICTOPN405 Install and test a dense wavelength division multiplexing system</w:t>
      </w:r>
    </w:p>
    <w:p w:rsidR="00000000" w:rsidRPr="00A57117" w:rsidP="00A57117">
      <w:pPr>
        <w:pStyle w:val="Heading1"/>
      </w:pPr>
      <w:bookmarkStart w:id="8" w:name="O_1042958"/>
      <w:bookmarkEnd w:id="8"/>
      <w:r w:rsidRPr="00A5711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A571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rPr>
                <w:rStyle w:val="SpecialBold"/>
              </w:rPr>
              <w:t>Comments</w:t>
            </w:r>
          </w:p>
        </w:tc>
      </w:tr>
      <w:tr w:rsidTr="00A571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17">
            <w:pPr>
              <w:pStyle w:val="BodyText"/>
              <w:rPr>
                <w:lang w:val="en-NZ"/>
              </w:rPr>
            </w:pPr>
            <w:r w:rsidRPr="00A57117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17" w:rsidP="00A57117">
            <w:pPr>
              <w:pStyle w:val="BodyText"/>
            </w:pPr>
            <w:r w:rsidRPr="00A57117">
              <w:t>This version released with ICT Information and Communications Technology Training Package Version 5.0.</w:t>
            </w:r>
          </w:p>
        </w:tc>
      </w:tr>
    </w:tbl>
    <w:p w:rsidR="00000000" w:rsidRPr="00A57117" w:rsidP="00A57117">
      <w:pPr>
        <w:pStyle w:val="BodyText"/>
      </w:pPr>
    </w:p>
    <w:p w:rsidR="00000000" w:rsidRPr="00A57117" w:rsidP="00A57117">
      <w:pPr>
        <w:pStyle w:val="AllowPageBreak"/>
      </w:pPr>
    </w:p>
    <w:p w:rsidR="00000000" w:rsidRPr="00A57117" w:rsidP="00A57117">
      <w:pPr>
        <w:pStyle w:val="Heading1"/>
      </w:pPr>
      <w:bookmarkStart w:id="9" w:name="O_1042961"/>
      <w:bookmarkEnd w:id="9"/>
      <w:r w:rsidRPr="00A57117">
        <w:t>Performance Evidence</w:t>
      </w:r>
    </w:p>
    <w:p w:rsidR="00000000" w:rsidRPr="00A57117" w:rsidP="00DF6C6A">
      <w:pPr>
        <w:pStyle w:val="BodyText"/>
      </w:pPr>
      <w:r w:rsidRPr="00A57117">
        <w:t>The candidate must demonstrate the ability to perform the tasks outlined in the elements, performance criteria, and foundation skills on two occasions and to:</w:t>
      </w:r>
    </w:p>
    <w:p w:rsidR="00000000" w:rsidRPr="00A57117" w:rsidP="00A57117">
      <w:pPr>
        <w:pStyle w:val="ListBullet"/>
      </w:pPr>
      <w:r w:rsidRPr="00A57117">
        <w:t>determine the dense wavelength division multiplexing (DWDM) requirements for a site</w:t>
      </w:r>
    </w:p>
    <w:p w:rsidR="00000000" w:rsidRPr="00A57117" w:rsidP="00A57117">
      <w:pPr>
        <w:pStyle w:val="ListBullet"/>
      </w:pPr>
      <w:r w:rsidRPr="00A57117">
        <w:t>install a DWDM system and associated cabling according to plans and specifications</w:t>
      </w:r>
    </w:p>
    <w:p w:rsidR="00000000" w:rsidRPr="00A57117" w:rsidP="00A57117">
      <w:pPr>
        <w:pStyle w:val="ListBullet"/>
      </w:pPr>
      <w:r w:rsidRPr="00A57117">
        <w:t>test installation for operation, power and ground connections</w:t>
      </w:r>
    </w:p>
    <w:p w:rsidR="00000000" w:rsidRPr="00A57117" w:rsidP="00A57117">
      <w:pPr>
        <w:pStyle w:val="ListBullet"/>
      </w:pPr>
      <w:r w:rsidRPr="00A57117">
        <w:t>analyse test results and rectify faults</w:t>
      </w:r>
    </w:p>
    <w:p w:rsidR="00000000" w:rsidRPr="00A57117" w:rsidP="00A57117">
      <w:pPr>
        <w:pStyle w:val="ListBullet"/>
      </w:pPr>
      <w:r w:rsidRPr="00A57117">
        <w:t>complete and submit an installation report.</w:t>
      </w:r>
    </w:p>
    <w:p w:rsidR="00000000" w:rsidRPr="00A57117" w:rsidP="00A57117">
      <w:pPr>
        <w:pStyle w:val="AllowPageBreak"/>
      </w:pPr>
    </w:p>
    <w:p w:rsidR="00000000" w:rsidRPr="00A57117" w:rsidP="00A57117">
      <w:pPr>
        <w:pStyle w:val="Heading1"/>
      </w:pPr>
      <w:bookmarkStart w:id="10" w:name="O_1042960"/>
      <w:bookmarkEnd w:id="10"/>
      <w:r w:rsidRPr="00A57117">
        <w:t>Knowledg</w:t>
      </w:r>
      <w:r w:rsidRPr="00A57117">
        <w:t>e Evidence</w:t>
      </w:r>
    </w:p>
    <w:p w:rsidR="00000000" w:rsidRPr="00A57117" w:rsidP="00DF6C6A">
      <w:pPr>
        <w:pStyle w:val="BodyText"/>
      </w:pPr>
      <w:r w:rsidRPr="00A57117">
        <w:t>The candidate must demonstrate the knowledge required to perform the tasks outlined in the elements, performance criteria, and foundation skills, which includes knowledge about:</w:t>
      </w:r>
    </w:p>
    <w:p w:rsidR="00000000" w:rsidRPr="00A57117" w:rsidP="00A57117">
      <w:pPr>
        <w:pStyle w:val="ListBullet"/>
      </w:pPr>
      <w:r w:rsidRPr="00A57117">
        <w:t>DWDM principles of operation and manufacturers guidelines</w:t>
      </w:r>
    </w:p>
    <w:p w:rsidR="00000000" w:rsidRPr="00A57117" w:rsidP="00A57117">
      <w:pPr>
        <w:pStyle w:val="ListBullet"/>
      </w:pPr>
      <w:r w:rsidRPr="00A57117">
        <w:t>risk man</w:t>
      </w:r>
      <w:r w:rsidRPr="00A57117">
        <w:t>agement of electrostatic discharge</w:t>
      </w:r>
    </w:p>
    <w:p w:rsidR="00000000" w:rsidRPr="00A57117" w:rsidP="00A57117">
      <w:pPr>
        <w:pStyle w:val="ListBullet"/>
      </w:pPr>
      <w:r w:rsidRPr="00A57117">
        <w:t>optical fibre connector types and characteristics</w:t>
      </w:r>
    </w:p>
    <w:p w:rsidR="00000000" w:rsidRPr="00A57117" w:rsidP="00A57117">
      <w:pPr>
        <w:pStyle w:val="ListBullet"/>
      </w:pPr>
      <w:r w:rsidRPr="00A57117">
        <w:t>optical fibre types and characteristics</w:t>
      </w:r>
    </w:p>
    <w:p w:rsidR="00000000" w:rsidRPr="00A57117" w:rsidP="00A57117">
      <w:pPr>
        <w:pStyle w:val="ListBullet"/>
      </w:pPr>
      <w:r w:rsidRPr="00A57117">
        <w:t>specific work health and safety requirements that impact the safe measurement and inspection of optical connectors and optical powe</w:t>
      </w:r>
      <w:r w:rsidRPr="00A57117">
        <w:t>r from laser transmission systems</w:t>
      </w:r>
    </w:p>
    <w:p w:rsidR="00000000" w:rsidRPr="00A57117" w:rsidP="00A57117">
      <w:pPr>
        <w:pStyle w:val="ListBullet"/>
      </w:pPr>
      <w:r w:rsidRPr="00A57117">
        <w:t>power wiring faults.</w:t>
      </w:r>
    </w:p>
    <w:p w:rsidR="00000000" w:rsidRPr="00A57117" w:rsidP="00A57117">
      <w:pPr>
        <w:pStyle w:val="AllowPageBreak"/>
      </w:pPr>
    </w:p>
    <w:p w:rsidR="00000000" w:rsidRPr="00A57117" w:rsidP="00A57117">
      <w:pPr>
        <w:pStyle w:val="Heading1"/>
      </w:pPr>
      <w:bookmarkStart w:id="11" w:name="O_1042959"/>
      <w:bookmarkEnd w:id="11"/>
      <w:r w:rsidRPr="00A57117">
        <w:t>Assessment Conditions</w:t>
      </w:r>
    </w:p>
    <w:p w:rsidR="00000000" w:rsidRPr="00A57117" w:rsidP="00DF6C6A">
      <w:pPr>
        <w:pStyle w:val="BodyText"/>
      </w:pPr>
      <w:r w:rsidRPr="00A57117">
        <w:t>Skills must be assessed in a workplace or simulated environment where conditions are typical of those in a telecommunications work environment or workplace.</w:t>
      </w:r>
    </w:p>
    <w:p w:rsidR="00000000" w:rsidRPr="00A57117" w:rsidP="00DF6C6A">
      <w:pPr>
        <w:pStyle w:val="BodyText"/>
      </w:pPr>
      <w:r w:rsidRPr="00A57117">
        <w:t>Acc</w:t>
      </w:r>
      <w:r w:rsidRPr="00A57117">
        <w:t>ess is required to:</w:t>
      </w:r>
    </w:p>
    <w:p w:rsidR="00000000" w:rsidRPr="00A57117" w:rsidP="00A57117">
      <w:pPr>
        <w:pStyle w:val="ListBullet"/>
      </w:pPr>
      <w:r w:rsidRPr="00A57117">
        <w:t>tools and equipment requirement for installation</w:t>
      </w:r>
    </w:p>
    <w:p w:rsidR="00000000" w:rsidRPr="00A57117" w:rsidP="00A57117">
      <w:pPr>
        <w:pStyle w:val="ListBullet"/>
      </w:pPr>
      <w:r w:rsidRPr="00A57117">
        <w:t>a range of optical fibres to suit the installation.</w:t>
      </w:r>
    </w:p>
    <w:p w:rsidR="00000000" w:rsidRPr="00A57117" w:rsidP="00A57117">
      <w:pPr>
        <w:pStyle w:val="BodyText"/>
      </w:pPr>
    </w:p>
    <w:p w:rsidR="00000000" w:rsidRPr="00A57117" w:rsidP="00DF6C6A">
      <w:pPr>
        <w:pStyle w:val="BodyText"/>
      </w:pPr>
      <w:r w:rsidRPr="00A57117">
        <w:t>Assessors of this unit must satisfy the requirements for assessors in appl</w:t>
      </w:r>
      <w:r w:rsidRPr="00A57117">
        <w:t>icable vocational education and training legislation, frameworks and/or standards.</w:t>
      </w:r>
    </w:p>
    <w:p w:rsidR="00000000" w:rsidRPr="00A57117" w:rsidP="00A57117">
      <w:pPr>
        <w:pStyle w:val="Heading1"/>
      </w:pPr>
      <w:bookmarkStart w:id="12" w:name="O_1042957"/>
      <w:bookmarkEnd w:id="12"/>
      <w:r w:rsidRPr="00A57117">
        <w:t>Links</w:t>
      </w:r>
    </w:p>
    <w:p w:rsidR="00000000" w:rsidRPr="00A57117" w:rsidP="00DF6C6A">
      <w:pPr>
        <w:pStyle w:val="BodyText"/>
      </w:pPr>
      <w:r w:rsidRPr="00A5711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B5B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7117" w:rsidP="00A57117"/>
    <w:sectPr w:rsidSect="00A571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 w:rsidRPr="00DF6C6A" w:rsidP="00DF6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6A" w:rsidP="00A57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6C6A" w:rsidP="00A57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F6C6A" w:rsidP="00A571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 w:rsidP="00A57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6C6A">
      <w:t>Approved</w:t>
    </w:r>
    <w:r w:rsidR="00DF6C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6C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6C6A">
      <w:rPr>
        <w:noProof/>
      </w:rPr>
      <w:t>4</w:t>
    </w:r>
    <w:r>
      <w:rPr>
        <w:noProof/>
      </w:rPr>
      <w:fldChar w:fldCharType="end"/>
    </w:r>
  </w:p>
  <w:p w:rsidR="00A57117" w:rsidP="00A57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6C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6C6A">
      <w:t>Future Skills Organisation</w:t>
    </w:r>
    <w:r w:rsidR="00DF6C6A">
      <w:fldChar w:fldCharType="end"/>
    </w:r>
  </w:p>
  <w:p w:rsidR="00A57117" w:rsidP="00A57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117" w:rsidRPr="00DF6C6A" w:rsidP="00DF6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6A" w:rsidRPr="002D2AF8" w:rsidP="00A57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ICTOPN405 Install and test a dense wavelength division multiplexing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6C6A" w:rsidP="00A571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17" w:rsidRPr="002D2AF8" w:rsidP="00A57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6C6A">
      <w:t>ICTOPN405 Install and test a dense wavelength division multiplexing system</w:t>
    </w:r>
    <w:r w:rsidR="00DF6C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6C6A">
      <w:rPr>
        <w:noProof/>
      </w:rPr>
      <w:t>2 March 2025</w:t>
    </w:r>
    <w:r>
      <w:fldChar w:fldCharType="end"/>
    </w:r>
  </w:p>
  <w:p w:rsidR="00A57117" w:rsidP="00A57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765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8661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117"/>
  </w:style>
  <w:style w:type="character" w:customStyle="1" w:styleId="Heading1Char">
    <w:name w:val="Heading 1 Char"/>
    <w:basedOn w:val="DefaultParagraphFont"/>
    <w:link w:val="Heading1"/>
    <w:rsid w:val="00A57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1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1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117"/>
    <w:rPr>
      <w:b/>
      <w:spacing w:val="0"/>
    </w:rPr>
  </w:style>
  <w:style w:type="character" w:styleId="Emphasis">
    <w:name w:val="Emphasis"/>
    <w:basedOn w:val="DefaultParagraphFont"/>
    <w:qFormat/>
    <w:rsid w:val="00A57117"/>
    <w:rPr>
      <w:i/>
    </w:rPr>
  </w:style>
  <w:style w:type="paragraph" w:customStyle="1" w:styleId="SuperHeading">
    <w:name w:val="SuperHeading"/>
    <w:basedOn w:val="Normal"/>
    <w:rsid w:val="00A57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1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1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1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117"/>
  </w:style>
  <w:style w:type="paragraph" w:styleId="TableofFigures">
    <w:name w:val="table of figures"/>
    <w:basedOn w:val="Normal"/>
    <w:next w:val="Normal"/>
    <w:semiHidden/>
    <w:rsid w:val="00A57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1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7117"/>
    <w:rPr>
      <w:rFonts w:ascii="Wingdings" w:hAnsi="Wingdings"/>
    </w:rPr>
  </w:style>
  <w:style w:type="paragraph" w:customStyle="1" w:styleId="TableHeading">
    <w:name w:val="Table Heading"/>
    <w:basedOn w:val="HeadingBase"/>
    <w:rsid w:val="00A57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117"/>
    <w:rPr>
      <w:color w:val="0033CC"/>
      <w:u w:val="none"/>
    </w:rPr>
  </w:style>
  <w:style w:type="paragraph" w:customStyle="1" w:styleId="BodyTextRight">
    <w:name w:val="Body Text Right"/>
    <w:basedOn w:val="BodyText"/>
    <w:rsid w:val="00A57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1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117"/>
    <w:rPr>
      <w:sz w:val="32"/>
    </w:rPr>
  </w:style>
  <w:style w:type="paragraph" w:customStyle="1" w:styleId="HeadingProcedure">
    <w:name w:val="Heading Procedure"/>
    <w:basedOn w:val="HeadingBase"/>
    <w:next w:val="Normal"/>
    <w:rsid w:val="00A57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117"/>
    <w:pPr>
      <w:spacing w:before="60" w:after="60"/>
    </w:pPr>
  </w:style>
  <w:style w:type="paragraph" w:styleId="ListContinue">
    <w:name w:val="List Continue"/>
    <w:basedOn w:val="List"/>
    <w:rsid w:val="00A57117"/>
    <w:pPr>
      <w:ind w:firstLine="0"/>
    </w:pPr>
  </w:style>
  <w:style w:type="paragraph" w:customStyle="1" w:styleId="ListNote">
    <w:name w:val="List Note"/>
    <w:basedOn w:val="List"/>
    <w:rsid w:val="00A57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117"/>
    <w:rPr>
      <w:rFonts w:ascii="Courier New" w:hAnsi="Courier New"/>
    </w:rPr>
  </w:style>
  <w:style w:type="paragraph" w:customStyle="1" w:styleId="NoteBullet">
    <w:name w:val="Note Bullet"/>
    <w:basedOn w:val="Note"/>
    <w:rsid w:val="00A57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1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7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117"/>
    <w:rPr>
      <w:b/>
      <w:smallCaps/>
    </w:rPr>
  </w:style>
  <w:style w:type="paragraph" w:customStyle="1" w:styleId="TableListNumber">
    <w:name w:val="Table List Number"/>
    <w:basedOn w:val="ListNumber"/>
    <w:rsid w:val="00A57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117"/>
    <w:pPr>
      <w:numPr>
        <w:numId w:val="8"/>
      </w:numPr>
    </w:pPr>
  </w:style>
  <w:style w:type="paragraph" w:customStyle="1" w:styleId="ListAlpha2">
    <w:name w:val="List Alpha 2"/>
    <w:basedOn w:val="List2"/>
    <w:rsid w:val="00A57117"/>
    <w:pPr>
      <w:numPr>
        <w:numId w:val="7"/>
      </w:numPr>
    </w:pPr>
  </w:style>
  <w:style w:type="paragraph" w:styleId="List2">
    <w:name w:val="List 2"/>
    <w:basedOn w:val="BodyText"/>
    <w:rsid w:val="00A57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1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1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7117"/>
    <w:pPr>
      <w:numPr>
        <w:numId w:val="3"/>
      </w:numPr>
    </w:pPr>
  </w:style>
  <w:style w:type="paragraph" w:styleId="ListContinue2">
    <w:name w:val="List Continue 2"/>
    <w:basedOn w:val="List2"/>
    <w:rsid w:val="00A57117"/>
    <w:pPr>
      <w:ind w:firstLine="0"/>
    </w:pPr>
  </w:style>
  <w:style w:type="paragraph" w:styleId="ListContinue3">
    <w:name w:val="List Continue 3"/>
    <w:basedOn w:val="List3"/>
    <w:rsid w:val="00A57117"/>
    <w:pPr>
      <w:ind w:left="1021" w:firstLine="0"/>
    </w:pPr>
  </w:style>
  <w:style w:type="paragraph" w:styleId="ListContinue4">
    <w:name w:val="List Continue 4"/>
    <w:basedOn w:val="List4"/>
    <w:rsid w:val="00A57117"/>
    <w:pPr>
      <w:ind w:firstLine="0"/>
    </w:pPr>
  </w:style>
  <w:style w:type="paragraph" w:styleId="ListContinue5">
    <w:name w:val="List Continue 5"/>
    <w:basedOn w:val="List5"/>
    <w:rsid w:val="00A57117"/>
    <w:pPr>
      <w:ind w:firstLine="0"/>
    </w:pPr>
  </w:style>
  <w:style w:type="paragraph" w:styleId="ListNumber3">
    <w:name w:val="List Number 3"/>
    <w:basedOn w:val="List3"/>
    <w:rsid w:val="00A57117"/>
    <w:pPr>
      <w:numPr>
        <w:numId w:val="4"/>
      </w:numPr>
    </w:pPr>
  </w:style>
  <w:style w:type="paragraph" w:styleId="ListNumber4">
    <w:name w:val="List Number 4"/>
    <w:basedOn w:val="List4"/>
    <w:rsid w:val="00A57117"/>
    <w:pPr>
      <w:numPr>
        <w:numId w:val="5"/>
      </w:numPr>
    </w:pPr>
  </w:style>
  <w:style w:type="paragraph" w:styleId="ListNumber5">
    <w:name w:val="List Number 5"/>
    <w:basedOn w:val="List5"/>
    <w:rsid w:val="00A57117"/>
    <w:pPr>
      <w:numPr>
        <w:numId w:val="6"/>
      </w:numPr>
    </w:pPr>
  </w:style>
  <w:style w:type="paragraph" w:styleId="BlockText">
    <w:name w:val="Block Text"/>
    <w:basedOn w:val="Normal"/>
    <w:rsid w:val="00A57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117"/>
    <w:rPr>
      <w:sz w:val="16"/>
      <w:vertAlign w:val="superscript"/>
    </w:rPr>
  </w:style>
  <w:style w:type="character" w:customStyle="1" w:styleId="Symbols">
    <w:name w:val="Symbols"/>
    <w:basedOn w:val="DefaultParagraphFont"/>
    <w:rsid w:val="00A57117"/>
    <w:rPr>
      <w:rFonts w:ascii="Symbol" w:hAnsi="Symbol"/>
    </w:rPr>
  </w:style>
  <w:style w:type="character" w:customStyle="1" w:styleId="MenuOptions">
    <w:name w:val="Menu Options"/>
    <w:basedOn w:val="DefaultParagraphFont"/>
    <w:rsid w:val="00A57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117"/>
    <w:rPr>
      <w:b/>
    </w:rPr>
  </w:style>
  <w:style w:type="character" w:customStyle="1" w:styleId="Underlined">
    <w:name w:val="Underlined"/>
    <w:basedOn w:val="DefaultParagraphFont"/>
    <w:rsid w:val="00A57117"/>
    <w:rPr>
      <w:u w:val="single"/>
    </w:rPr>
  </w:style>
  <w:style w:type="paragraph" w:customStyle="1" w:styleId="TableBodyTextRight">
    <w:name w:val="Table Body Text Right"/>
    <w:basedOn w:val="TableBodyText"/>
    <w:rsid w:val="00A57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117"/>
    <w:rPr>
      <w:sz w:val="18"/>
    </w:rPr>
  </w:style>
  <w:style w:type="paragraph" w:customStyle="1" w:styleId="BodySmallRight">
    <w:name w:val="Body Small Right"/>
    <w:basedOn w:val="BodyTextRight"/>
    <w:rsid w:val="00A57117"/>
    <w:rPr>
      <w:sz w:val="18"/>
      <w:szCs w:val="18"/>
    </w:rPr>
  </w:style>
  <w:style w:type="paragraph" w:customStyle="1" w:styleId="MarginEdition">
    <w:name w:val="Margin Edition"/>
    <w:basedOn w:val="MarginNote"/>
    <w:rsid w:val="00A57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117"/>
    <w:rPr>
      <w:sz w:val="2"/>
      <w:szCs w:val="2"/>
    </w:rPr>
  </w:style>
  <w:style w:type="character" w:customStyle="1" w:styleId="Small">
    <w:name w:val="Small"/>
    <w:basedOn w:val="DefaultParagraphFont"/>
    <w:rsid w:val="00A57117"/>
    <w:rPr>
      <w:sz w:val="16"/>
    </w:rPr>
  </w:style>
  <w:style w:type="paragraph" w:customStyle="1" w:styleId="WideTable">
    <w:name w:val="Wide Table"/>
    <w:basedOn w:val="Normal"/>
    <w:rsid w:val="00A57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117"/>
  </w:style>
  <w:style w:type="paragraph" w:styleId="Quote">
    <w:name w:val="Quote"/>
    <w:basedOn w:val="Heading1"/>
    <w:link w:val="QuoteChar"/>
    <w:qFormat/>
    <w:rsid w:val="00A57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117"/>
    <w:pPr>
      <w:pageBreakBefore/>
    </w:pPr>
  </w:style>
  <w:style w:type="paragraph" w:customStyle="1" w:styleId="Border">
    <w:name w:val="Border"/>
    <w:basedOn w:val="Normal"/>
    <w:qFormat/>
    <w:rsid w:val="00A57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117"/>
    <w:rPr>
      <w:u w:val="single"/>
    </w:rPr>
  </w:style>
  <w:style w:type="character" w:customStyle="1" w:styleId="BoldandItalics">
    <w:name w:val="Bold and Italics"/>
    <w:qFormat/>
    <w:rsid w:val="00A57117"/>
    <w:rPr>
      <w:b/>
      <w:i/>
      <w:u w:val="none"/>
    </w:rPr>
  </w:style>
  <w:style w:type="paragraph" w:styleId="BalloonText">
    <w:name w:val="Balloon Text"/>
    <w:basedOn w:val="Normal"/>
    <w:link w:val="BalloonTextChar"/>
    <w:rsid w:val="00A57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117"/>
    <w:pPr>
      <w:spacing w:before="0" w:after="0"/>
    </w:pPr>
  </w:style>
  <w:style w:type="paragraph" w:customStyle="1" w:styleId="BodyTextBold">
    <w:name w:val="Body Text Bold"/>
    <w:basedOn w:val="BodyText"/>
    <w:qFormat/>
    <w:rsid w:val="00A57117"/>
    <w:rPr>
      <w:b/>
    </w:rPr>
  </w:style>
  <w:style w:type="character" w:styleId="Hyperlink">
    <w:name w:val="Hyperlink"/>
    <w:basedOn w:val="DefaultParagraphFont"/>
    <w:uiPriority w:val="99"/>
    <w:unhideWhenUsed/>
    <w:rsid w:val="00DF6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5590</Characters>
  <Application>Microsoft Office Word</Application>
  <DocSecurity>0</DocSecurity>
  <Lines>164</Lines>
  <Paragraphs>103</Paragraphs>
  <ScaleCrop>false</ScaleCrop>
  <Company>Author-it Software Corporation Ltd.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ICTOPN405 Install and test a dense wavelength division multiplexing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