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DA1" w:rsidP="00C83D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ICTOPN404 Test optical communications systems and components</w:t>
      </w:r>
      <w:r>
        <w:fldChar w:fldCharType="end"/>
      </w:r>
    </w:p>
    <w:p w:rsidR="00C83DA1" w:rsidP="00C83DA1">
      <w:pPr>
        <w:pStyle w:val="Version"/>
        <w:sectPr w:rsidSect="007B2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CB2" w:rsidP="007B2CB2">
      <w:pPr>
        <w:pStyle w:val="SuperHeading"/>
      </w:pPr>
      <w:r w:rsidRPr="007B2CB2">
        <w:t>Assessment Requirements for ICTOPN404 Test optical communications systems and components</w:t>
      </w:r>
    </w:p>
    <w:p w:rsidR="00000000" w:rsidRPr="007B2CB2" w:rsidP="007B2CB2">
      <w:pPr>
        <w:pStyle w:val="Heading1"/>
      </w:pPr>
      <w:bookmarkStart w:id="1" w:name="O_1049885"/>
      <w:bookmarkEnd w:id="1"/>
      <w:r w:rsidRPr="007B2CB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7B2C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CB2" w:rsidP="007B2CB2">
            <w:pPr>
              <w:pStyle w:val="BodyText"/>
            </w:pPr>
            <w:r w:rsidRPr="007B2CB2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CB2">
            <w:pPr>
              <w:pStyle w:val="BodyText"/>
              <w:rPr>
                <w:lang w:val="en-NZ"/>
              </w:rPr>
            </w:pPr>
            <w:r w:rsidRPr="007B2CB2">
              <w:rPr>
                <w:rStyle w:val="SpecialBold"/>
              </w:rPr>
              <w:t>Comments</w:t>
            </w:r>
          </w:p>
        </w:tc>
      </w:tr>
      <w:tr w:rsidTr="007B2C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CB2">
            <w:pPr>
              <w:pStyle w:val="BodyText"/>
              <w:rPr>
                <w:lang w:val="en-NZ"/>
              </w:rPr>
            </w:pPr>
            <w:r w:rsidRPr="007B2CB2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CB2" w:rsidP="007B2CB2">
            <w:pPr>
              <w:pStyle w:val="BodyText"/>
            </w:pPr>
            <w:r w:rsidRPr="007B2CB2">
              <w:t>This version released with ICT Information and Communications Technology Training Package Version 5.0.</w:t>
            </w:r>
          </w:p>
        </w:tc>
      </w:tr>
    </w:tbl>
    <w:p w:rsidR="00000000" w:rsidRPr="007B2CB2" w:rsidP="007B2CB2">
      <w:pPr>
        <w:pStyle w:val="BodyText"/>
      </w:pPr>
    </w:p>
    <w:p w:rsidR="00000000" w:rsidRPr="007B2CB2" w:rsidP="007B2CB2">
      <w:pPr>
        <w:pStyle w:val="AllowPageBreak"/>
      </w:pPr>
    </w:p>
    <w:p w:rsidR="00000000" w:rsidRPr="007B2CB2" w:rsidP="007B2CB2">
      <w:pPr>
        <w:pStyle w:val="Heading1"/>
      </w:pPr>
      <w:bookmarkStart w:id="2" w:name="O_1049888"/>
      <w:bookmarkEnd w:id="2"/>
      <w:r w:rsidRPr="007B2CB2">
        <w:t>Performance Evidence</w:t>
      </w:r>
    </w:p>
    <w:p w:rsidR="00000000" w:rsidRPr="007B2CB2" w:rsidP="00C83DA1">
      <w:pPr>
        <w:pStyle w:val="BodyText"/>
      </w:pPr>
      <w:r w:rsidRPr="007B2CB2">
        <w:t>The candidate must demonstrate the ability to perform the tasks outlined in the elements, performance criteria,</w:t>
      </w:r>
      <w:r w:rsidRPr="007B2CB2">
        <w:t xml:space="preserve"> and foundation skills on two occasions and to:</w:t>
      </w:r>
    </w:p>
    <w:p w:rsidR="00000000" w:rsidRPr="007B2CB2" w:rsidP="007B2CB2">
      <w:pPr>
        <w:pStyle w:val="ListBullet"/>
      </w:pPr>
      <w:r w:rsidRPr="007B2CB2">
        <w:t>obtain operation documentation for advanced optical test instruments</w:t>
      </w:r>
    </w:p>
    <w:p w:rsidR="00000000" w:rsidRPr="007B2CB2" w:rsidP="007B2CB2">
      <w:pPr>
        <w:pStyle w:val="ListBullet"/>
      </w:pPr>
      <w:r w:rsidRPr="007B2CB2">
        <w:t>plan and prepare a schedule of tests to be performed</w:t>
      </w:r>
    </w:p>
    <w:p w:rsidR="00000000" w:rsidRPr="007B2CB2" w:rsidP="007B2CB2">
      <w:pPr>
        <w:pStyle w:val="ListBullet"/>
      </w:pPr>
      <w:r w:rsidRPr="007B2CB2">
        <w:t>conduct at least one optical test</w:t>
      </w:r>
    </w:p>
    <w:p w:rsidR="00000000" w:rsidRPr="007B2CB2" w:rsidP="007B2CB2">
      <w:pPr>
        <w:pStyle w:val="ListBullet"/>
      </w:pPr>
      <w:r w:rsidRPr="007B2CB2">
        <w:t>record the following measurements for a range of pa</w:t>
      </w:r>
      <w:r w:rsidRPr="007B2CB2">
        <w:t>rameters:</w:t>
      </w:r>
    </w:p>
    <w:p w:rsidR="00000000" w:rsidRPr="007B2CB2" w:rsidP="007B2CB2">
      <w:pPr>
        <w:pStyle w:val="ListBullet2"/>
      </w:pPr>
      <w:r w:rsidRPr="007B2CB2">
        <w:t>optical power level</w:t>
      </w:r>
    </w:p>
    <w:p w:rsidR="00000000" w:rsidRPr="007B2CB2" w:rsidP="007B2CB2">
      <w:pPr>
        <w:pStyle w:val="ListBullet2"/>
      </w:pPr>
      <w:r w:rsidRPr="007B2CB2">
        <w:t>insertion loss of optical network</w:t>
      </w:r>
    </w:p>
    <w:p w:rsidR="00000000" w:rsidRPr="007B2CB2" w:rsidP="007B2CB2">
      <w:pPr>
        <w:pStyle w:val="ListBullet2"/>
      </w:pPr>
      <w:r w:rsidRPr="007B2CB2">
        <w:t>end-to-end fibre loss (bi-directional)</w:t>
      </w:r>
    </w:p>
    <w:p w:rsidR="00000000" w:rsidRPr="007B2CB2" w:rsidP="007B2CB2">
      <w:pPr>
        <w:pStyle w:val="ListBullet"/>
      </w:pPr>
      <w:r w:rsidRPr="007B2CB2">
        <w:t>test, calculate and document optical link budget according to industry standards using the following test equipment:</w:t>
      </w:r>
    </w:p>
    <w:p w:rsidR="00000000" w:rsidRPr="007B2CB2" w:rsidP="007B2CB2">
      <w:pPr>
        <w:pStyle w:val="ListBullet2"/>
      </w:pPr>
      <w:r w:rsidRPr="007B2CB2">
        <w:t>optical time domain reflectometer (OTDR)</w:t>
      </w:r>
    </w:p>
    <w:p w:rsidR="00000000" w:rsidRPr="007B2CB2" w:rsidP="007B2CB2">
      <w:pPr>
        <w:pStyle w:val="ListBullet2"/>
      </w:pPr>
      <w:r w:rsidRPr="007B2CB2">
        <w:t xml:space="preserve">optical spectrum analyser (OSA) or equivalent optical spectrum analyser </w:t>
      </w:r>
    </w:p>
    <w:p w:rsidR="00000000" w:rsidRPr="007B2CB2" w:rsidP="007B2CB2">
      <w:pPr>
        <w:pStyle w:val="ListBullet2"/>
      </w:pPr>
      <w:r w:rsidRPr="007B2CB2">
        <w:t>optical return loss (ORL)</w:t>
      </w:r>
    </w:p>
    <w:p w:rsidR="00000000" w:rsidRPr="007B2CB2" w:rsidP="007B2CB2">
      <w:pPr>
        <w:pStyle w:val="ListBullet"/>
      </w:pPr>
      <w:r w:rsidRPr="007B2CB2">
        <w:t>comply with all related work health and safety (WHS) requirements and work practices</w:t>
      </w:r>
    </w:p>
    <w:p w:rsidR="00000000" w:rsidRPr="007B2CB2" w:rsidP="007B2CB2">
      <w:pPr>
        <w:pStyle w:val="ListBullet"/>
      </w:pPr>
      <w:r w:rsidRPr="007B2CB2">
        <w:t>evaluate optical performance u</w:t>
      </w:r>
      <w:r w:rsidRPr="007B2CB2">
        <w:t>sing:</w:t>
      </w:r>
    </w:p>
    <w:p w:rsidR="00000000" w:rsidRPr="007B2CB2" w:rsidP="007B2CB2">
      <w:pPr>
        <w:pStyle w:val="ListBullet2"/>
      </w:pPr>
      <w:r w:rsidRPr="007B2CB2">
        <w:t>wavelength spectrum parameters</w:t>
      </w:r>
    </w:p>
    <w:p w:rsidR="00000000" w:rsidRPr="007B2CB2" w:rsidP="007B2CB2">
      <w:pPr>
        <w:pStyle w:val="ListBullet2"/>
      </w:pPr>
      <w:r w:rsidRPr="007B2CB2">
        <w:t>ODTR events.</w:t>
      </w:r>
    </w:p>
    <w:p w:rsidR="00000000" w:rsidRPr="007B2CB2" w:rsidP="007B2CB2">
      <w:pPr>
        <w:pStyle w:val="AllowPageBreak"/>
      </w:pPr>
    </w:p>
    <w:p w:rsidR="00000000" w:rsidRPr="007B2CB2" w:rsidP="007B2CB2">
      <w:pPr>
        <w:pStyle w:val="Heading1"/>
      </w:pPr>
      <w:bookmarkStart w:id="3" w:name="O_1049887"/>
      <w:bookmarkEnd w:id="3"/>
      <w:r w:rsidRPr="007B2CB2">
        <w:t>Knowledge Evidence</w:t>
      </w:r>
    </w:p>
    <w:p w:rsidR="00000000" w:rsidRPr="007B2CB2" w:rsidP="00C83DA1">
      <w:pPr>
        <w:pStyle w:val="BodyText"/>
      </w:pPr>
      <w:r w:rsidRPr="007B2CB2">
        <w:t>The candidate must demonstrate the knowledge required to perform the tasks outlined in the elements, performance criteria, and foundation skills, which includes knowle</w:t>
      </w:r>
      <w:r w:rsidRPr="007B2CB2">
        <w:t>dge about:</w:t>
      </w:r>
    </w:p>
    <w:p w:rsidR="00000000" w:rsidRPr="007B2CB2" w:rsidP="007B2CB2">
      <w:pPr>
        <w:pStyle w:val="ListBullet"/>
      </w:pPr>
      <w:r w:rsidRPr="007B2CB2">
        <w:t>optical system and its main components</w:t>
      </w:r>
    </w:p>
    <w:p w:rsidR="00000000" w:rsidRPr="007B2CB2" w:rsidP="007B2CB2">
      <w:pPr>
        <w:pStyle w:val="ListBullet"/>
      </w:pPr>
      <w:r w:rsidRPr="007B2CB2">
        <w:t>hazards and risks associated with optical systems</w:t>
      </w:r>
    </w:p>
    <w:p w:rsidR="00000000" w:rsidRPr="007B2CB2" w:rsidP="007B2CB2">
      <w:pPr>
        <w:pStyle w:val="ListBullet"/>
      </w:pPr>
      <w:r w:rsidRPr="007B2CB2">
        <w:t>health and safety and environmental requirements associated with optical systems</w:t>
      </w:r>
    </w:p>
    <w:p w:rsidR="00000000" w:rsidRPr="007B2CB2" w:rsidP="007B2CB2">
      <w:pPr>
        <w:pStyle w:val="ListBullet"/>
      </w:pPr>
      <w:r w:rsidRPr="007B2CB2">
        <w:t>common tests, measurements and testing plans used for optical systems</w:t>
      </w:r>
    </w:p>
    <w:p w:rsidR="00000000" w:rsidRPr="007B2CB2" w:rsidP="007B2CB2">
      <w:pPr>
        <w:pStyle w:val="ListBullet"/>
      </w:pPr>
      <w:r w:rsidRPr="007B2CB2">
        <w:t>common wavelengths involved with optical systems</w:t>
      </w:r>
    </w:p>
    <w:p w:rsidR="00000000" w:rsidRPr="007B2CB2" w:rsidP="007B2CB2">
      <w:pPr>
        <w:pStyle w:val="ListBullet"/>
      </w:pPr>
      <w:r w:rsidRPr="007B2CB2">
        <w:t>use of tools and test equipment for optical systems</w:t>
      </w:r>
    </w:p>
    <w:p w:rsidR="00000000" w:rsidRPr="007B2CB2" w:rsidP="007B2CB2">
      <w:pPr>
        <w:pStyle w:val="ListBullet"/>
      </w:pPr>
      <w:r w:rsidRPr="007B2CB2">
        <w:t>consequences of mating contaminated optical connectors</w:t>
      </w:r>
    </w:p>
    <w:p w:rsidR="00000000" w:rsidRPr="007B2CB2" w:rsidP="007B2CB2">
      <w:pPr>
        <w:pStyle w:val="ListBullet"/>
      </w:pPr>
      <w:r w:rsidRPr="007B2CB2">
        <w:t xml:space="preserve">calculations using decibels, dBm </w:t>
      </w:r>
    </w:p>
    <w:p w:rsidR="00000000" w:rsidRPr="007B2CB2" w:rsidP="007B2CB2">
      <w:pPr>
        <w:pStyle w:val="ListBullet"/>
      </w:pPr>
      <w:r w:rsidRPr="007B2CB2">
        <w:t>downstream and upstream signals</w:t>
      </w:r>
    </w:p>
    <w:p w:rsidR="00000000" w:rsidRPr="007B2CB2" w:rsidP="007B2CB2">
      <w:pPr>
        <w:pStyle w:val="ListBullet"/>
      </w:pPr>
      <w:r w:rsidRPr="007B2CB2">
        <w:t>dense wavelength division multiple</w:t>
      </w:r>
      <w:r w:rsidRPr="007B2CB2">
        <w:t>xing (DWDM) metro and long-haul system architecture</w:t>
      </w:r>
    </w:p>
    <w:p w:rsidR="00000000" w:rsidRPr="007B2CB2" w:rsidP="007B2CB2">
      <w:pPr>
        <w:pStyle w:val="ListBullet"/>
      </w:pPr>
      <w:r w:rsidRPr="007B2CB2">
        <w:t>measurement of:</w:t>
      </w:r>
    </w:p>
    <w:p w:rsidR="00000000" w:rsidRPr="007B2CB2" w:rsidP="007B2CB2">
      <w:pPr>
        <w:pStyle w:val="ListBullet2"/>
      </w:pPr>
      <w:r w:rsidRPr="007B2CB2">
        <w:t>DWDM signals</w:t>
      </w:r>
    </w:p>
    <w:p w:rsidR="00000000" w:rsidRPr="007B2CB2" w:rsidP="007B2CB2">
      <w:pPr>
        <w:pStyle w:val="ListBullet2"/>
      </w:pPr>
      <w:r w:rsidRPr="007B2CB2">
        <w:t xml:space="preserve">gain and gain flatness of optical amplifier </w:t>
      </w:r>
    </w:p>
    <w:p w:rsidR="00000000" w:rsidRPr="007B2CB2" w:rsidP="007B2CB2">
      <w:pPr>
        <w:pStyle w:val="ListBullet2"/>
      </w:pPr>
      <w:r w:rsidRPr="007B2CB2">
        <w:t>laser spectral stability, drift and unexpected variation in spectral transmission characteristics</w:t>
      </w:r>
    </w:p>
    <w:p w:rsidR="00000000" w:rsidRPr="007B2CB2" w:rsidP="007B2CB2">
      <w:pPr>
        <w:pStyle w:val="ListBullet"/>
      </w:pPr>
      <w:r w:rsidRPr="007B2CB2">
        <w:t>non-linear effects, four-wave mixing</w:t>
      </w:r>
    </w:p>
    <w:p w:rsidR="00000000" w:rsidRPr="007B2CB2" w:rsidP="007B2CB2">
      <w:pPr>
        <w:pStyle w:val="ListBullet"/>
      </w:pPr>
      <w:r w:rsidRPr="007B2CB2">
        <w:t>optical connector types</w:t>
      </w:r>
    </w:p>
    <w:p w:rsidR="00000000" w:rsidRPr="007B2CB2" w:rsidP="007B2CB2">
      <w:pPr>
        <w:pStyle w:val="ListBullet"/>
      </w:pPr>
      <w:r w:rsidRPr="007B2CB2">
        <w:t>optical signal to noise ratio (OSNR)</w:t>
      </w:r>
    </w:p>
    <w:p w:rsidR="00000000" w:rsidRPr="007B2CB2" w:rsidP="007B2CB2">
      <w:pPr>
        <w:pStyle w:val="ListBullet"/>
      </w:pPr>
      <w:r w:rsidRPr="007B2CB2">
        <w:t>optical spectrum limits, wavelengths used in various applications and International Telecommunication Union (ITU) grid</w:t>
      </w:r>
    </w:p>
    <w:p w:rsidR="00000000" w:rsidRPr="007B2CB2" w:rsidP="007B2CB2">
      <w:pPr>
        <w:pStyle w:val="ListBullet"/>
      </w:pPr>
      <w:r w:rsidRPr="007B2CB2">
        <w:t>optical transmitters and receivers</w:t>
      </w:r>
    </w:p>
    <w:p w:rsidR="00000000" w:rsidRPr="007B2CB2" w:rsidP="007B2CB2">
      <w:pPr>
        <w:pStyle w:val="ListBullet"/>
      </w:pPr>
      <w:r w:rsidRPr="007B2CB2">
        <w:t>opti</w:t>
      </w:r>
      <w:r w:rsidRPr="007B2CB2">
        <w:t>cal return loss (ORL)</w:t>
      </w:r>
    </w:p>
    <w:p w:rsidR="00000000" w:rsidRPr="007B2CB2" w:rsidP="007B2CB2">
      <w:pPr>
        <w:pStyle w:val="ListBullet"/>
      </w:pPr>
      <w:r w:rsidRPr="007B2CB2">
        <w:t>OTDR dead zones, dynamic range and launch cable reflectance</w:t>
      </w:r>
    </w:p>
    <w:p w:rsidR="00000000" w:rsidRPr="007B2CB2" w:rsidP="007B2CB2">
      <w:pPr>
        <w:pStyle w:val="ListBullet"/>
      </w:pPr>
      <w:r w:rsidRPr="007B2CB2">
        <w:t>safe handling procedures with optical fibres</w:t>
      </w:r>
    </w:p>
    <w:p w:rsidR="00000000" w:rsidRPr="007B2CB2" w:rsidP="007B2CB2">
      <w:pPr>
        <w:pStyle w:val="ListBullet"/>
      </w:pPr>
      <w:r w:rsidRPr="007B2CB2">
        <w:t>transmission system line rates including:</w:t>
      </w:r>
    </w:p>
    <w:p w:rsidR="00000000" w:rsidRPr="007B2CB2" w:rsidP="007B2CB2">
      <w:pPr>
        <w:pStyle w:val="ListBullet2"/>
      </w:pPr>
      <w:r w:rsidRPr="007B2CB2">
        <w:t>optical ethernet</w:t>
      </w:r>
    </w:p>
    <w:p w:rsidR="00000000" w:rsidRPr="007B2CB2" w:rsidP="007B2CB2">
      <w:pPr>
        <w:pStyle w:val="ListBullet2"/>
      </w:pPr>
      <w:r w:rsidRPr="007B2CB2">
        <w:t>optical transport network (OTN)</w:t>
      </w:r>
    </w:p>
    <w:p w:rsidR="00000000" w:rsidRPr="007B2CB2" w:rsidP="007B2CB2">
      <w:pPr>
        <w:pStyle w:val="ListBullet2"/>
      </w:pPr>
      <w:r w:rsidRPr="007B2CB2">
        <w:t xml:space="preserve">synchronous digital hierarchy (SDH) </w:t>
      </w:r>
    </w:p>
    <w:p w:rsidR="00000000" w:rsidRPr="007B2CB2" w:rsidP="007B2CB2">
      <w:pPr>
        <w:pStyle w:val="ListBullet"/>
      </w:pPr>
      <w:r w:rsidRPr="007B2CB2">
        <w:t>wavelength division multiplexing (WDM), coarse wavelength division multiplexing (CWDM) and DWDM principles and optical multiplexers</w:t>
      </w:r>
    </w:p>
    <w:p w:rsidR="00000000" w:rsidRPr="007B2CB2" w:rsidP="007B2CB2">
      <w:pPr>
        <w:pStyle w:val="ListBullet"/>
      </w:pPr>
      <w:r w:rsidRPr="007B2CB2">
        <w:t xml:space="preserve">influence of legislation, regulations, codes and standards relevant to advanced optical work. </w:t>
      </w:r>
    </w:p>
    <w:p w:rsidR="00000000" w:rsidRPr="007B2CB2" w:rsidP="007B2CB2">
      <w:pPr>
        <w:pStyle w:val="AllowPageBreak"/>
      </w:pPr>
    </w:p>
    <w:p w:rsidR="00000000" w:rsidRPr="007B2CB2" w:rsidP="007B2CB2">
      <w:pPr>
        <w:pStyle w:val="Heading1"/>
      </w:pPr>
      <w:bookmarkStart w:id="4" w:name="O_1049886"/>
      <w:bookmarkEnd w:id="4"/>
      <w:r w:rsidRPr="007B2CB2">
        <w:t>Assessment Conditions</w:t>
      </w:r>
    </w:p>
    <w:p w:rsidR="00000000" w:rsidRPr="007B2CB2" w:rsidP="00C83DA1">
      <w:pPr>
        <w:pStyle w:val="BodyText"/>
      </w:pPr>
      <w:r w:rsidRPr="007B2CB2">
        <w:t>Skills must be assessed in a workplace or simulated environment where conditions are typical of those in a telecommunications work environment or workplace.</w:t>
      </w:r>
    </w:p>
    <w:p w:rsidR="00000000" w:rsidRPr="007B2CB2" w:rsidP="00C83DA1">
      <w:pPr>
        <w:pStyle w:val="BodyText"/>
      </w:pPr>
      <w:r w:rsidRPr="007B2CB2">
        <w:t>Access is required to:</w:t>
      </w:r>
    </w:p>
    <w:p w:rsidR="00000000" w:rsidRPr="007B2CB2" w:rsidP="007B2CB2">
      <w:pPr>
        <w:pStyle w:val="ListBullet"/>
      </w:pPr>
      <w:r w:rsidRPr="007B2CB2">
        <w:t>tools and equipment required for measurements</w:t>
      </w:r>
    </w:p>
    <w:p w:rsidR="00000000" w:rsidRPr="007B2CB2" w:rsidP="007B2CB2">
      <w:pPr>
        <w:pStyle w:val="ListBullet"/>
      </w:pPr>
      <w:r w:rsidRPr="007B2CB2">
        <w:t>manufac</w:t>
      </w:r>
      <w:r w:rsidRPr="007B2CB2">
        <w:t>turer documentation for test instruments and equipment under test.</w:t>
      </w:r>
    </w:p>
    <w:p w:rsidR="00000000" w:rsidRPr="007B2CB2" w:rsidP="007B2CB2">
      <w:pPr>
        <w:pStyle w:val="BodyText"/>
      </w:pPr>
    </w:p>
    <w:p w:rsidR="00C83DA1" w:rsidP="00C83DA1">
      <w:pPr>
        <w:pStyle w:val="BodyText"/>
      </w:pPr>
      <w:r w:rsidRPr="007B2CB2">
        <w:t>Assessors of this unit must satisfy the requirements for assessors in applicable vocational education and training legislation, frameworks and/or standards.</w:t>
      </w:r>
    </w:p>
    <w:p w:rsidR="00000000" w:rsidRPr="007B2CB2" w:rsidP="007B2CB2">
      <w:pPr>
        <w:pStyle w:val="Heading1"/>
      </w:pPr>
      <w:bookmarkStart w:id="5" w:name="O_1049884"/>
      <w:bookmarkEnd w:id="5"/>
      <w:r w:rsidRPr="007B2CB2">
        <w:t>Links</w:t>
      </w:r>
    </w:p>
    <w:p w:rsidR="00000000" w:rsidRPr="007B2CB2" w:rsidP="00C83DA1">
      <w:pPr>
        <w:pStyle w:val="BodyText"/>
      </w:pPr>
      <w:r w:rsidRPr="007B2CB2">
        <w:t>Compa</w:t>
      </w:r>
      <w:r w:rsidRPr="007B2CB2">
        <w:t xml:space="preserve">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B26F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B2CB2" w:rsidP="007B2CB2"/>
    <w:sectPr w:rsidSect="007B2C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B2" w:rsidRPr="00C83DA1" w:rsidP="00C83D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A1" w:rsidP="007B2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3DA1" w:rsidP="007B2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83DA1" w:rsidP="007B2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CB2" w:rsidRPr="00C83DA1" w:rsidP="00C83D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A1" w:rsidRPr="002D2AF8" w:rsidP="007B2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ICTOPN404 Test optical communications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83DA1" w:rsidP="007B2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7854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F0A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3AE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CB2"/>
  </w:style>
  <w:style w:type="character" w:customStyle="1" w:styleId="Heading1Char">
    <w:name w:val="Heading 1 Char"/>
    <w:basedOn w:val="DefaultParagraphFont"/>
    <w:link w:val="Heading1"/>
    <w:rsid w:val="007B2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2C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2CB2"/>
    <w:rPr>
      <w:b/>
      <w:spacing w:val="0"/>
    </w:rPr>
  </w:style>
  <w:style w:type="paragraph" w:styleId="ListBullet2">
    <w:name w:val="List Bullet 2"/>
    <w:basedOn w:val="List2"/>
    <w:rsid w:val="007B2C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2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2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2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C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CB2"/>
    <w:rPr>
      <w:i/>
    </w:rPr>
  </w:style>
  <w:style w:type="paragraph" w:styleId="Caption">
    <w:name w:val="caption"/>
    <w:basedOn w:val="BodyText"/>
    <w:next w:val="Normal"/>
    <w:qFormat/>
    <w:rsid w:val="007B2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CB2"/>
  </w:style>
  <w:style w:type="paragraph" w:styleId="TableofFigures">
    <w:name w:val="table of figures"/>
    <w:basedOn w:val="Normal"/>
    <w:next w:val="Normal"/>
    <w:semiHidden/>
    <w:rsid w:val="007B2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C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2CB2"/>
    <w:rPr>
      <w:rFonts w:ascii="Wingdings" w:hAnsi="Wingdings"/>
    </w:rPr>
  </w:style>
  <w:style w:type="paragraph" w:customStyle="1" w:styleId="TableHeading">
    <w:name w:val="Table Heading"/>
    <w:basedOn w:val="HeadingBase"/>
    <w:rsid w:val="007B2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CB2"/>
    <w:rPr>
      <w:color w:val="0033CC"/>
      <w:u w:val="none"/>
    </w:rPr>
  </w:style>
  <w:style w:type="paragraph" w:customStyle="1" w:styleId="BodyTextRight">
    <w:name w:val="Body Text Right"/>
    <w:basedOn w:val="BodyText"/>
    <w:rsid w:val="007B2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C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CB2"/>
    <w:rPr>
      <w:sz w:val="32"/>
    </w:rPr>
  </w:style>
  <w:style w:type="paragraph" w:customStyle="1" w:styleId="HeadingProcedure">
    <w:name w:val="Heading Procedure"/>
    <w:basedOn w:val="HeadingBase"/>
    <w:next w:val="Normal"/>
    <w:rsid w:val="007B2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CB2"/>
    <w:pPr>
      <w:spacing w:before="60" w:after="60"/>
    </w:pPr>
  </w:style>
  <w:style w:type="paragraph" w:styleId="ListContinue">
    <w:name w:val="List Continue"/>
    <w:basedOn w:val="List"/>
    <w:rsid w:val="007B2CB2"/>
    <w:pPr>
      <w:ind w:firstLine="0"/>
    </w:pPr>
  </w:style>
  <w:style w:type="paragraph" w:customStyle="1" w:styleId="ListNote">
    <w:name w:val="List Note"/>
    <w:basedOn w:val="List"/>
    <w:rsid w:val="007B2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CB2"/>
    <w:rPr>
      <w:rFonts w:ascii="Courier New" w:hAnsi="Courier New"/>
    </w:rPr>
  </w:style>
  <w:style w:type="paragraph" w:customStyle="1" w:styleId="NoteBullet">
    <w:name w:val="Note Bullet"/>
    <w:basedOn w:val="Note"/>
    <w:rsid w:val="007B2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C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2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CB2"/>
    <w:rPr>
      <w:b/>
      <w:smallCaps/>
    </w:rPr>
  </w:style>
  <w:style w:type="paragraph" w:customStyle="1" w:styleId="TableListNumber">
    <w:name w:val="Table List Number"/>
    <w:basedOn w:val="ListNumber"/>
    <w:rsid w:val="007B2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CB2"/>
    <w:pPr>
      <w:numPr>
        <w:numId w:val="9"/>
      </w:numPr>
    </w:pPr>
  </w:style>
  <w:style w:type="paragraph" w:customStyle="1" w:styleId="ListAlpha2">
    <w:name w:val="List Alpha 2"/>
    <w:basedOn w:val="List2"/>
    <w:rsid w:val="007B2CB2"/>
    <w:pPr>
      <w:numPr>
        <w:numId w:val="8"/>
      </w:numPr>
    </w:pPr>
  </w:style>
  <w:style w:type="paragraph" w:styleId="List2">
    <w:name w:val="List 2"/>
    <w:basedOn w:val="BodyText"/>
    <w:rsid w:val="007B2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C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C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2CB2"/>
    <w:pPr>
      <w:numPr>
        <w:numId w:val="4"/>
      </w:numPr>
    </w:pPr>
  </w:style>
  <w:style w:type="paragraph" w:styleId="ListContinue2">
    <w:name w:val="List Continue 2"/>
    <w:basedOn w:val="List2"/>
    <w:rsid w:val="007B2CB2"/>
    <w:pPr>
      <w:ind w:firstLine="0"/>
    </w:pPr>
  </w:style>
  <w:style w:type="paragraph" w:styleId="ListContinue3">
    <w:name w:val="List Continue 3"/>
    <w:basedOn w:val="List3"/>
    <w:rsid w:val="007B2CB2"/>
    <w:pPr>
      <w:ind w:left="1021" w:firstLine="0"/>
    </w:pPr>
  </w:style>
  <w:style w:type="paragraph" w:styleId="ListContinue4">
    <w:name w:val="List Continue 4"/>
    <w:basedOn w:val="List4"/>
    <w:rsid w:val="007B2CB2"/>
    <w:pPr>
      <w:ind w:firstLine="0"/>
    </w:pPr>
  </w:style>
  <w:style w:type="paragraph" w:styleId="ListContinue5">
    <w:name w:val="List Continue 5"/>
    <w:basedOn w:val="List5"/>
    <w:rsid w:val="007B2CB2"/>
    <w:pPr>
      <w:ind w:firstLine="0"/>
    </w:pPr>
  </w:style>
  <w:style w:type="paragraph" w:styleId="ListNumber3">
    <w:name w:val="List Number 3"/>
    <w:basedOn w:val="List3"/>
    <w:rsid w:val="007B2CB2"/>
    <w:pPr>
      <w:numPr>
        <w:numId w:val="5"/>
      </w:numPr>
    </w:pPr>
  </w:style>
  <w:style w:type="paragraph" w:styleId="ListNumber4">
    <w:name w:val="List Number 4"/>
    <w:basedOn w:val="List4"/>
    <w:rsid w:val="007B2CB2"/>
    <w:pPr>
      <w:numPr>
        <w:numId w:val="6"/>
      </w:numPr>
    </w:pPr>
  </w:style>
  <w:style w:type="paragraph" w:styleId="ListNumber5">
    <w:name w:val="List Number 5"/>
    <w:basedOn w:val="List5"/>
    <w:rsid w:val="007B2CB2"/>
    <w:pPr>
      <w:numPr>
        <w:numId w:val="7"/>
      </w:numPr>
    </w:pPr>
  </w:style>
  <w:style w:type="paragraph" w:styleId="BlockText">
    <w:name w:val="Block Text"/>
    <w:basedOn w:val="Normal"/>
    <w:rsid w:val="007B2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CB2"/>
    <w:rPr>
      <w:sz w:val="16"/>
      <w:vertAlign w:val="superscript"/>
    </w:rPr>
  </w:style>
  <w:style w:type="character" w:customStyle="1" w:styleId="Symbols">
    <w:name w:val="Symbols"/>
    <w:basedOn w:val="DefaultParagraphFont"/>
    <w:rsid w:val="007B2CB2"/>
    <w:rPr>
      <w:rFonts w:ascii="Symbol" w:hAnsi="Symbol"/>
    </w:rPr>
  </w:style>
  <w:style w:type="character" w:customStyle="1" w:styleId="MenuOptions">
    <w:name w:val="Menu Options"/>
    <w:basedOn w:val="DefaultParagraphFont"/>
    <w:rsid w:val="007B2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CB2"/>
    <w:rPr>
      <w:b/>
    </w:rPr>
  </w:style>
  <w:style w:type="character" w:customStyle="1" w:styleId="Underlined">
    <w:name w:val="Underlined"/>
    <w:basedOn w:val="DefaultParagraphFont"/>
    <w:rsid w:val="007B2CB2"/>
    <w:rPr>
      <w:u w:val="single"/>
    </w:rPr>
  </w:style>
  <w:style w:type="paragraph" w:customStyle="1" w:styleId="TableBodyTextRight">
    <w:name w:val="Table Body Text Right"/>
    <w:basedOn w:val="TableBodyText"/>
    <w:rsid w:val="007B2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CB2"/>
    <w:rPr>
      <w:sz w:val="18"/>
    </w:rPr>
  </w:style>
  <w:style w:type="paragraph" w:customStyle="1" w:styleId="BodySmallRight">
    <w:name w:val="Body Small Right"/>
    <w:basedOn w:val="BodyTextRight"/>
    <w:rsid w:val="007B2CB2"/>
    <w:rPr>
      <w:sz w:val="18"/>
      <w:szCs w:val="18"/>
    </w:rPr>
  </w:style>
  <w:style w:type="paragraph" w:customStyle="1" w:styleId="MarginEdition">
    <w:name w:val="Margin Edition"/>
    <w:basedOn w:val="MarginNote"/>
    <w:rsid w:val="007B2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CB2"/>
    <w:rPr>
      <w:sz w:val="2"/>
      <w:szCs w:val="2"/>
    </w:rPr>
  </w:style>
  <w:style w:type="character" w:customStyle="1" w:styleId="Small">
    <w:name w:val="Small"/>
    <w:basedOn w:val="DefaultParagraphFont"/>
    <w:rsid w:val="007B2CB2"/>
    <w:rPr>
      <w:sz w:val="16"/>
    </w:rPr>
  </w:style>
  <w:style w:type="paragraph" w:customStyle="1" w:styleId="WideTable">
    <w:name w:val="Wide Table"/>
    <w:basedOn w:val="Normal"/>
    <w:rsid w:val="007B2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CB2"/>
  </w:style>
  <w:style w:type="paragraph" w:styleId="Quote">
    <w:name w:val="Quote"/>
    <w:basedOn w:val="Heading1"/>
    <w:link w:val="QuoteChar"/>
    <w:qFormat/>
    <w:rsid w:val="007B2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CB2"/>
    <w:pPr>
      <w:pageBreakBefore/>
    </w:pPr>
  </w:style>
  <w:style w:type="paragraph" w:customStyle="1" w:styleId="Border">
    <w:name w:val="Border"/>
    <w:basedOn w:val="Normal"/>
    <w:qFormat/>
    <w:rsid w:val="007B2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CB2"/>
    <w:rPr>
      <w:u w:val="single"/>
    </w:rPr>
  </w:style>
  <w:style w:type="character" w:customStyle="1" w:styleId="BoldandItalics">
    <w:name w:val="Bold and Italics"/>
    <w:qFormat/>
    <w:rsid w:val="007B2CB2"/>
    <w:rPr>
      <w:b/>
      <w:i/>
      <w:u w:val="none"/>
    </w:rPr>
  </w:style>
  <w:style w:type="paragraph" w:styleId="BalloonText">
    <w:name w:val="Balloon Text"/>
    <w:basedOn w:val="Normal"/>
    <w:link w:val="BalloonTextChar"/>
    <w:rsid w:val="007B2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CB2"/>
    <w:pPr>
      <w:spacing w:before="0" w:after="0"/>
    </w:pPr>
  </w:style>
  <w:style w:type="paragraph" w:customStyle="1" w:styleId="BodyTextBold">
    <w:name w:val="Body Text Bold"/>
    <w:basedOn w:val="BodyText"/>
    <w:qFormat/>
    <w:rsid w:val="007B2CB2"/>
    <w:rPr>
      <w:b/>
    </w:rPr>
  </w:style>
  <w:style w:type="character" w:styleId="Hyperlink">
    <w:name w:val="Hyperlink"/>
    <w:basedOn w:val="DefaultParagraphFont"/>
    <w:uiPriority w:val="99"/>
    <w:unhideWhenUsed/>
    <w:rsid w:val="00C83D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3250</Characters>
  <Application>Microsoft Office Word</Application>
  <DocSecurity>0</DocSecurity>
  <Lines>90</Lines>
  <Paragraphs>74</Paragraphs>
  <ScaleCrop>false</ScaleCrop>
  <Company>Author-it Software Corporation Ltd.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ICTOPN404 Test optical communications systems and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2024-12-17T22:20:00Z</dcterms:created>
  <dcterms:modified xsi:type="dcterms:W3CDTF">2024-12-17T22:20:00Z</dcterms:modified>
</cp:coreProperties>
</file>