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BCC" w:rsidP="00594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ICTNWK562 Configure internet gateways</w:t>
      </w:r>
      <w:r>
        <w:fldChar w:fldCharType="end"/>
      </w:r>
    </w:p>
    <w:p w:rsidR="00594BCC" w:rsidP="00594BCC">
      <w:pPr>
        <w:pStyle w:val="Version"/>
        <w:sectPr w:rsidSect="00C61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9C9" w:rsidP="00C619C9">
      <w:pPr>
        <w:pStyle w:val="SuperHeading"/>
      </w:pPr>
      <w:r w:rsidRPr="00C619C9">
        <w:t>Assessment Requirements for ICTNWK562 Configure internet gateways</w:t>
      </w:r>
    </w:p>
    <w:p w:rsidR="00000000" w:rsidRPr="00C619C9" w:rsidP="00C619C9">
      <w:pPr>
        <w:pStyle w:val="Heading1"/>
      </w:pPr>
      <w:bookmarkStart w:id="1" w:name="O_1220388"/>
      <w:bookmarkEnd w:id="1"/>
      <w:r w:rsidRPr="00C619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61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9" w:rsidP="00C619C9">
            <w:pPr>
              <w:pStyle w:val="BodyText"/>
            </w:pPr>
            <w:r w:rsidRPr="00C619C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9">
            <w:pPr>
              <w:pStyle w:val="BodyText"/>
              <w:rPr>
                <w:lang w:val="en-NZ"/>
              </w:rPr>
            </w:pPr>
            <w:r w:rsidRPr="00C619C9">
              <w:rPr>
                <w:rStyle w:val="SpecialBold"/>
              </w:rPr>
              <w:t>Comments</w:t>
            </w:r>
          </w:p>
        </w:tc>
      </w:tr>
      <w:tr w:rsidTr="00C61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9">
            <w:pPr>
              <w:pStyle w:val="BodyText"/>
              <w:rPr>
                <w:lang w:val="en-NZ"/>
              </w:rPr>
            </w:pPr>
            <w:r w:rsidRPr="00C619C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9" w:rsidP="00C619C9">
            <w:pPr>
              <w:pStyle w:val="BodyText"/>
            </w:pPr>
            <w:r w:rsidRPr="00C619C9">
              <w:t>This version first released with the Information and Communications Technology Training Package Version 8.0.</w:t>
            </w:r>
          </w:p>
          <w:p w:rsidR="00000000" w:rsidRPr="00C619C9" w:rsidP="00C619C9">
            <w:pPr>
              <w:pStyle w:val="BodyText"/>
            </w:pPr>
            <w:r w:rsidRPr="00C619C9">
              <w:t xml:space="preserve">Supersedes </w:t>
            </w:r>
            <w:r w:rsidRPr="00C619C9">
              <w:t>and is equivalent to ICTNWK531 Configure an internet gateway.</w:t>
            </w:r>
          </w:p>
          <w:p w:rsidR="00000000" w:rsidRPr="00C619C9" w:rsidP="00C619C9">
            <w:pPr>
              <w:pStyle w:val="BodyText"/>
            </w:pPr>
            <w:r w:rsidRPr="00C619C9">
              <w:t>Minor edits to title.</w:t>
            </w:r>
          </w:p>
        </w:tc>
      </w:tr>
    </w:tbl>
    <w:p w:rsidR="00000000" w:rsidRPr="00C619C9" w:rsidP="00C619C9">
      <w:pPr>
        <w:pStyle w:val="BodyText"/>
      </w:pPr>
    </w:p>
    <w:p w:rsidR="00000000" w:rsidRPr="00C619C9" w:rsidP="00C619C9">
      <w:pPr>
        <w:pStyle w:val="AllowPageBreak"/>
      </w:pPr>
    </w:p>
    <w:p w:rsidR="00000000" w:rsidRPr="00C619C9" w:rsidP="00C619C9">
      <w:pPr>
        <w:pStyle w:val="Heading1"/>
      </w:pPr>
      <w:bookmarkStart w:id="2" w:name="O_1220389"/>
      <w:bookmarkEnd w:id="2"/>
      <w:r w:rsidRPr="00C619C9">
        <w:t>Performance Evidence</w:t>
      </w:r>
    </w:p>
    <w:p w:rsidR="00000000" w:rsidRPr="00C619C9" w:rsidP="00594BCC">
      <w:pPr>
        <w:pStyle w:val="BodyText"/>
      </w:pPr>
      <w:r w:rsidRPr="00C619C9">
        <w:t>The candidate must demonstrate the ability to complete the tasks outlined in the elements, performance criteria and foundation ski</w:t>
      </w:r>
      <w:r w:rsidRPr="00C619C9">
        <w:t>lls of this unit, including evidence of the ability to:</w:t>
      </w:r>
    </w:p>
    <w:p w:rsidR="00000000" w:rsidRPr="00C619C9" w:rsidP="00C619C9">
      <w:pPr>
        <w:pStyle w:val="ListBullet"/>
      </w:pPr>
      <w:r w:rsidRPr="00C619C9">
        <w:t>configure at least two different internet gateways</w:t>
      </w:r>
    </w:p>
    <w:p w:rsidR="00000000" w:rsidRPr="00C619C9" w:rsidP="00C619C9">
      <w:pPr>
        <w:pStyle w:val="ListBullet"/>
      </w:pPr>
      <w:r w:rsidRPr="00C619C9">
        <w:t>connect at least two nodes to a logical internet gateway.</w:t>
      </w:r>
    </w:p>
    <w:p w:rsidR="00000000" w:rsidRPr="00C619C9" w:rsidP="00C619C9">
      <w:pPr>
        <w:pStyle w:val="BodyText"/>
      </w:pPr>
    </w:p>
    <w:p w:rsidR="00000000" w:rsidRPr="00C619C9" w:rsidP="00594BCC">
      <w:pPr>
        <w:pStyle w:val="BodyText"/>
      </w:pPr>
      <w:r w:rsidRPr="00C619C9">
        <w:t>In the course of the above, the candidate must:</w:t>
      </w:r>
    </w:p>
    <w:p w:rsidR="00000000" w:rsidRPr="00C619C9" w:rsidP="00C619C9">
      <w:pPr>
        <w:pStyle w:val="ListBullet"/>
      </w:pPr>
      <w:r w:rsidRPr="00C619C9">
        <w:t>assess network performance requirements</w:t>
      </w:r>
    </w:p>
    <w:p w:rsidR="00000000" w:rsidRPr="00C619C9" w:rsidP="00C619C9">
      <w:pPr>
        <w:pStyle w:val="ListBullet"/>
      </w:pPr>
      <w:r w:rsidRPr="00C619C9">
        <w:t>meet required internet service provider (ISP) security requirements</w:t>
      </w:r>
    </w:p>
    <w:p w:rsidR="00000000" w:rsidRPr="00C619C9" w:rsidP="00C619C9">
      <w:pPr>
        <w:pStyle w:val="ListBullet"/>
      </w:pPr>
      <w:r w:rsidRPr="00C619C9">
        <w:t>report network issues to required personnel within required timeframes</w:t>
      </w:r>
    </w:p>
    <w:p w:rsidR="00000000" w:rsidRPr="00C619C9" w:rsidP="00C619C9">
      <w:pPr>
        <w:pStyle w:val="ListBullet"/>
      </w:pPr>
      <w:r w:rsidRPr="00C619C9">
        <w:t>apply required organisational policies and procedures</w:t>
      </w:r>
    </w:p>
    <w:p w:rsidR="00000000" w:rsidRPr="00C619C9" w:rsidP="00C619C9">
      <w:pPr>
        <w:pStyle w:val="ListBullet"/>
      </w:pPr>
      <w:r w:rsidRPr="00C619C9">
        <w:t>comply with required technical and national guidelines for conf</w:t>
      </w:r>
      <w:r w:rsidRPr="00C619C9">
        <w:t>iguring internet gateways.</w:t>
      </w:r>
    </w:p>
    <w:p w:rsidR="00000000" w:rsidRPr="00C619C9" w:rsidP="00C619C9">
      <w:pPr>
        <w:pStyle w:val="AllowPageBreak"/>
      </w:pPr>
    </w:p>
    <w:p w:rsidR="00000000" w:rsidRPr="00C619C9" w:rsidP="00C619C9">
      <w:pPr>
        <w:pStyle w:val="Heading1"/>
      </w:pPr>
      <w:bookmarkStart w:id="3" w:name="O_1220390"/>
      <w:bookmarkEnd w:id="3"/>
      <w:r w:rsidRPr="00C619C9">
        <w:t>Knowledge Evidence</w:t>
      </w:r>
    </w:p>
    <w:p w:rsidR="00000000" w:rsidRPr="00C619C9" w:rsidP="00594BCC">
      <w:pPr>
        <w:pStyle w:val="BodyText"/>
      </w:pPr>
      <w:r w:rsidRPr="00C619C9">
        <w:t>The candidate must be able to demonstrate knowledge to complete the tasks outlined in the elements, performance criteria and foundation skills of this unit, including knowledge of:</w:t>
      </w:r>
    </w:p>
    <w:p w:rsidR="00000000" w:rsidRPr="00C619C9" w:rsidP="00C619C9">
      <w:pPr>
        <w:pStyle w:val="ListBullet"/>
      </w:pPr>
      <w:r w:rsidRPr="00C619C9">
        <w:t>key secur</w:t>
      </w:r>
      <w:r w:rsidRPr="00C619C9">
        <w:t>ity threats to ISP networks, including:</w:t>
      </w:r>
    </w:p>
    <w:p w:rsidR="00000000" w:rsidRPr="00C619C9" w:rsidP="00C619C9">
      <w:pPr>
        <w:pStyle w:val="ListBullet2"/>
      </w:pPr>
      <w:r w:rsidRPr="00C619C9">
        <w:t>data interception</w:t>
      </w:r>
    </w:p>
    <w:p w:rsidR="00000000" w:rsidRPr="00C619C9" w:rsidP="00C619C9">
      <w:pPr>
        <w:pStyle w:val="ListBullet2"/>
      </w:pPr>
      <w:r w:rsidRPr="00C619C9">
        <w:t>data corruption</w:t>
      </w:r>
    </w:p>
    <w:p w:rsidR="00000000" w:rsidRPr="00C619C9" w:rsidP="00C619C9">
      <w:pPr>
        <w:pStyle w:val="ListBullet2"/>
      </w:pPr>
      <w:r w:rsidRPr="00C619C9">
        <w:t>data falsification</w:t>
      </w:r>
    </w:p>
    <w:p w:rsidR="00000000" w:rsidRPr="00C619C9" w:rsidP="00C619C9">
      <w:pPr>
        <w:pStyle w:val="ListBullet"/>
      </w:pPr>
      <w:r w:rsidRPr="00C619C9">
        <w:t>industry-recognised internet gateways and installation methods</w:t>
      </w:r>
    </w:p>
    <w:p w:rsidR="00000000" w:rsidRPr="00C619C9" w:rsidP="00C619C9">
      <w:pPr>
        <w:pStyle w:val="ListBullet"/>
      </w:pPr>
      <w:r w:rsidRPr="00C619C9">
        <w:t>functions and features of security plans</w:t>
      </w:r>
    </w:p>
    <w:p w:rsidR="00000000" w:rsidRPr="00C619C9" w:rsidP="00C619C9">
      <w:pPr>
        <w:pStyle w:val="ListBullet"/>
      </w:pPr>
      <w:r w:rsidRPr="00C619C9">
        <w:t>industry-recognised methods to configure network components using required technical and national guidelines</w:t>
      </w:r>
    </w:p>
    <w:p w:rsidR="00000000" w:rsidRPr="00C619C9" w:rsidP="00C619C9">
      <w:pPr>
        <w:pStyle w:val="ListBullet"/>
      </w:pPr>
      <w:r w:rsidRPr="00C619C9">
        <w:t>required operations for configuring network components</w:t>
      </w:r>
    </w:p>
    <w:p w:rsidR="00000000" w:rsidRPr="00C619C9" w:rsidP="00C619C9">
      <w:pPr>
        <w:pStyle w:val="ListBullet"/>
      </w:pPr>
      <w:r w:rsidRPr="00C619C9">
        <w:t>networking techniques to analyse and minimise system vulnerabilities</w:t>
      </w:r>
    </w:p>
    <w:p w:rsidR="00000000" w:rsidRPr="00C619C9" w:rsidP="00C619C9">
      <w:pPr>
        <w:pStyle w:val="ListBullet"/>
      </w:pPr>
      <w:r w:rsidRPr="00C619C9">
        <w:t xml:space="preserve">methods to conduct ISP </w:t>
      </w:r>
      <w:r w:rsidRPr="00C619C9">
        <w:t>network security and speed tests</w:t>
      </w:r>
    </w:p>
    <w:p w:rsidR="00000000" w:rsidRPr="00C619C9" w:rsidP="00C619C9">
      <w:pPr>
        <w:pStyle w:val="ListBullet"/>
      </w:pPr>
      <w:r w:rsidRPr="00C619C9">
        <w:t>hardware, software and tools for internet gateway and node configurations</w:t>
      </w:r>
    </w:p>
    <w:p w:rsidR="00000000" w:rsidRPr="00C619C9" w:rsidP="00C619C9">
      <w:pPr>
        <w:pStyle w:val="ListBullet"/>
      </w:pPr>
      <w:r w:rsidRPr="00C619C9">
        <w:t>key functions and features of internet gateway architecture, including:</w:t>
      </w:r>
    </w:p>
    <w:p w:rsidR="00000000" w:rsidRPr="00C619C9" w:rsidP="00C619C9">
      <w:pPr>
        <w:pStyle w:val="ListBullet2"/>
      </w:pPr>
      <w:r w:rsidRPr="00C619C9">
        <w:t>network architecture</w:t>
      </w:r>
    </w:p>
    <w:p w:rsidR="00000000" w:rsidRPr="00C619C9" w:rsidP="00C619C9">
      <w:pPr>
        <w:pStyle w:val="ListBullet2"/>
      </w:pPr>
      <w:r w:rsidRPr="00C619C9">
        <w:t>domain name server (DNS) resolution</w:t>
      </w:r>
    </w:p>
    <w:p w:rsidR="00000000" w:rsidRPr="00C619C9" w:rsidP="00C619C9">
      <w:pPr>
        <w:pStyle w:val="ListBullet2"/>
      </w:pPr>
      <w:r w:rsidRPr="00C619C9">
        <w:t>bridges</w:t>
      </w:r>
    </w:p>
    <w:p w:rsidR="00000000" w:rsidRPr="00C619C9" w:rsidP="00C619C9">
      <w:pPr>
        <w:pStyle w:val="ListBullet2"/>
      </w:pPr>
      <w:r w:rsidRPr="00C619C9">
        <w:t>node connec</w:t>
      </w:r>
      <w:r w:rsidRPr="00C619C9">
        <w:t>tion</w:t>
      </w:r>
    </w:p>
    <w:p w:rsidR="00000000" w:rsidRPr="00C619C9" w:rsidP="00C619C9">
      <w:pPr>
        <w:pStyle w:val="ListBullet2"/>
      </w:pPr>
      <w:r w:rsidRPr="00C619C9">
        <w:t>logical gateways and desktop operating systems</w:t>
      </w:r>
    </w:p>
    <w:p w:rsidR="00000000" w:rsidRPr="00C619C9" w:rsidP="00C619C9">
      <w:pPr>
        <w:pStyle w:val="ListBullet2"/>
      </w:pPr>
      <w:r w:rsidRPr="00C619C9">
        <w:t>hubs</w:t>
      </w:r>
    </w:p>
    <w:p w:rsidR="00000000" w:rsidRPr="00C619C9" w:rsidP="00C619C9">
      <w:pPr>
        <w:pStyle w:val="ListBullet2"/>
      </w:pPr>
      <w:r w:rsidRPr="00C619C9">
        <w:t>firewalls</w:t>
      </w:r>
    </w:p>
    <w:p w:rsidR="00000000" w:rsidRPr="00C619C9" w:rsidP="00C619C9">
      <w:pPr>
        <w:pStyle w:val="ListBullet2"/>
      </w:pPr>
      <w:r w:rsidRPr="00C619C9">
        <w:t>network gateways and operating systems</w:t>
      </w:r>
    </w:p>
    <w:p w:rsidR="00000000" w:rsidRPr="00C619C9" w:rsidP="00C619C9">
      <w:pPr>
        <w:pStyle w:val="ListBullet2"/>
      </w:pPr>
      <w:r w:rsidRPr="00C619C9">
        <w:t>routers and switches</w:t>
      </w:r>
    </w:p>
    <w:p w:rsidR="00000000" w:rsidRPr="00C619C9" w:rsidP="00C619C9">
      <w:pPr>
        <w:pStyle w:val="ListBullet2"/>
      </w:pPr>
      <w:r w:rsidRPr="00C619C9">
        <w:t>prerequisites and technical requirements</w:t>
      </w:r>
    </w:p>
    <w:p w:rsidR="00000000" w:rsidRPr="00C619C9" w:rsidP="00C619C9">
      <w:pPr>
        <w:pStyle w:val="ListBullet"/>
      </w:pPr>
      <w:r w:rsidRPr="00C619C9">
        <w:t>functions and features of security practices for ISP network protection</w:t>
      </w:r>
    </w:p>
    <w:p w:rsidR="00000000" w:rsidRPr="00C619C9" w:rsidP="00C619C9">
      <w:pPr>
        <w:pStyle w:val="ListBullet"/>
      </w:pPr>
      <w:r w:rsidRPr="00C619C9">
        <w:t>troubleshooting procedures for logical gateway and network router connection</w:t>
      </w:r>
    </w:p>
    <w:p w:rsidR="00000000" w:rsidRPr="00C619C9" w:rsidP="00C619C9">
      <w:pPr>
        <w:pStyle w:val="ListBullet"/>
      </w:pPr>
      <w:r w:rsidRPr="00C619C9">
        <w:t>key security maintenance procedures, including ethical hacking</w:t>
      </w:r>
    </w:p>
    <w:p w:rsidR="00000000" w:rsidRPr="00C619C9" w:rsidP="00C619C9">
      <w:pPr>
        <w:pStyle w:val="ListBullet"/>
      </w:pPr>
      <w:r w:rsidRPr="00C619C9">
        <w:t>organisational policies and procedures and legislative requirements relating to work tasks.</w:t>
      </w:r>
    </w:p>
    <w:p w:rsidR="00000000" w:rsidRPr="00C619C9" w:rsidP="00C619C9">
      <w:pPr>
        <w:pStyle w:val="AllowPageBreak"/>
      </w:pPr>
    </w:p>
    <w:p w:rsidR="00000000" w:rsidRPr="00C619C9" w:rsidP="00C619C9">
      <w:pPr>
        <w:pStyle w:val="Heading1"/>
      </w:pPr>
      <w:bookmarkStart w:id="4" w:name="O_1220391"/>
      <w:bookmarkEnd w:id="4"/>
      <w:r w:rsidRPr="00C619C9">
        <w:t>Asses</w:t>
      </w:r>
      <w:r w:rsidRPr="00C619C9">
        <w:t>sment Conditions</w:t>
      </w:r>
    </w:p>
    <w:p w:rsidR="00000000" w:rsidRPr="00C619C9" w:rsidP="00594BCC">
      <w:pPr>
        <w:pStyle w:val="BodyText"/>
      </w:pPr>
      <w:r w:rsidRPr="00C619C9">
        <w:t>Skills in this unit must be demonstrated in a workplace or simulated environment where the conditions are typical of those in a working environment in this industry.</w:t>
      </w:r>
    </w:p>
    <w:p w:rsidR="00000000" w:rsidRPr="00C619C9" w:rsidP="00594BCC">
      <w:pPr>
        <w:pStyle w:val="BodyText"/>
      </w:pPr>
      <w:r w:rsidRPr="00C619C9">
        <w:t>This includes access to:</w:t>
      </w:r>
    </w:p>
    <w:p w:rsidR="00000000" w:rsidRPr="00C619C9" w:rsidP="00C619C9">
      <w:pPr>
        <w:pStyle w:val="ListBullet"/>
      </w:pPr>
      <w:r w:rsidRPr="00C619C9">
        <w:t>ISP network and internet gateway</w:t>
      </w:r>
    </w:p>
    <w:p w:rsidR="00000000" w:rsidRPr="00C619C9" w:rsidP="00C619C9">
      <w:pPr>
        <w:pStyle w:val="ListBullet"/>
      </w:pPr>
      <w:r w:rsidRPr="00C619C9">
        <w:t>network infras</w:t>
      </w:r>
      <w:r w:rsidRPr="00C619C9">
        <w:t>tructure and vendor specifications, including servers and components</w:t>
      </w:r>
    </w:p>
    <w:p w:rsidR="00000000" w:rsidRPr="00C619C9" w:rsidP="00C619C9">
      <w:pPr>
        <w:pStyle w:val="ListBullet"/>
      </w:pPr>
      <w:r w:rsidRPr="00C619C9">
        <w:t>organisational policies and procedures required to demonstrate the performance evidence.</w:t>
      </w:r>
    </w:p>
    <w:p w:rsidR="00000000" w:rsidRPr="00C619C9" w:rsidP="00C619C9">
      <w:pPr>
        <w:pStyle w:val="BodyText"/>
      </w:pPr>
    </w:p>
    <w:p w:rsidR="00000000" w:rsidRPr="00C619C9" w:rsidP="00594BCC">
      <w:pPr>
        <w:pStyle w:val="BodyText"/>
      </w:pPr>
      <w:r w:rsidRPr="00C619C9">
        <w:t>Assessors of this unit must satisfy the requirements for assessors in applicable vocational education and training legislation, frameworks and/or standards.</w:t>
      </w:r>
    </w:p>
    <w:p w:rsidR="00000000" w:rsidRPr="00C619C9" w:rsidP="00C619C9">
      <w:pPr>
        <w:pStyle w:val="Heading1"/>
      </w:pPr>
      <w:bookmarkStart w:id="5" w:name="O_1220394"/>
      <w:bookmarkEnd w:id="5"/>
      <w:r w:rsidRPr="00C619C9">
        <w:t>Links</w:t>
      </w:r>
    </w:p>
    <w:p w:rsidR="00000000" w:rsidRPr="00C619C9" w:rsidP="00594BCC">
      <w:pPr>
        <w:pStyle w:val="BodyText"/>
      </w:pPr>
      <w:r w:rsidRPr="00C619C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3A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19C9" w:rsidP="00C619C9"/>
    <w:sectPr w:rsidSect="00C61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9" w:rsidRPr="00594BCC" w:rsidP="00594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CC" w:rsidP="00C61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BCC" w:rsidP="00C61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4BCC" w:rsidP="00C61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9C9" w:rsidRPr="00594BCC" w:rsidP="00594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CC" w:rsidRPr="002D2AF8" w:rsidP="00C61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ICTNWK562 Configure internet gateways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94BCC" w:rsidP="00C61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CE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AE2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8A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9C9"/>
  </w:style>
  <w:style w:type="character" w:customStyle="1" w:styleId="Heading1Char">
    <w:name w:val="Heading 1 Char"/>
    <w:basedOn w:val="DefaultParagraphFont"/>
    <w:link w:val="Heading1"/>
    <w:rsid w:val="00C61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9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9C9"/>
    <w:rPr>
      <w:b/>
      <w:spacing w:val="0"/>
    </w:rPr>
  </w:style>
  <w:style w:type="paragraph" w:styleId="ListBullet2">
    <w:name w:val="List Bullet 2"/>
    <w:basedOn w:val="List2"/>
    <w:rsid w:val="00C619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9C9"/>
    <w:rPr>
      <w:i/>
    </w:rPr>
  </w:style>
  <w:style w:type="paragraph" w:styleId="Caption">
    <w:name w:val="caption"/>
    <w:basedOn w:val="BodyText"/>
    <w:next w:val="Normal"/>
    <w:qFormat/>
    <w:rsid w:val="00C61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9C9"/>
  </w:style>
  <w:style w:type="paragraph" w:styleId="TableofFigures">
    <w:name w:val="table of figures"/>
    <w:basedOn w:val="Normal"/>
    <w:next w:val="Normal"/>
    <w:semiHidden/>
    <w:rsid w:val="00C61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9C9"/>
    <w:rPr>
      <w:rFonts w:ascii="Wingdings" w:hAnsi="Wingdings"/>
    </w:rPr>
  </w:style>
  <w:style w:type="paragraph" w:customStyle="1" w:styleId="TableHeading">
    <w:name w:val="Table Heading"/>
    <w:basedOn w:val="HeadingBase"/>
    <w:rsid w:val="00C61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9C9"/>
    <w:rPr>
      <w:color w:val="0033CC"/>
      <w:u w:val="none"/>
    </w:rPr>
  </w:style>
  <w:style w:type="paragraph" w:customStyle="1" w:styleId="BodyTextRight">
    <w:name w:val="Body Text Right"/>
    <w:basedOn w:val="BodyText"/>
    <w:rsid w:val="00C61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9C9"/>
    <w:rPr>
      <w:sz w:val="32"/>
    </w:rPr>
  </w:style>
  <w:style w:type="paragraph" w:customStyle="1" w:styleId="HeadingProcedure">
    <w:name w:val="Heading Procedure"/>
    <w:basedOn w:val="HeadingBase"/>
    <w:next w:val="Normal"/>
    <w:rsid w:val="00C61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9C9"/>
    <w:pPr>
      <w:spacing w:before="60" w:after="60"/>
    </w:pPr>
  </w:style>
  <w:style w:type="paragraph" w:styleId="ListContinue">
    <w:name w:val="List Continue"/>
    <w:basedOn w:val="List"/>
    <w:rsid w:val="00C619C9"/>
    <w:pPr>
      <w:ind w:firstLine="0"/>
    </w:pPr>
  </w:style>
  <w:style w:type="paragraph" w:customStyle="1" w:styleId="ListNote">
    <w:name w:val="List Note"/>
    <w:basedOn w:val="List"/>
    <w:rsid w:val="00C61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9C9"/>
    <w:rPr>
      <w:rFonts w:ascii="Courier New" w:hAnsi="Courier New"/>
    </w:rPr>
  </w:style>
  <w:style w:type="paragraph" w:customStyle="1" w:styleId="NoteBullet">
    <w:name w:val="Note Bullet"/>
    <w:basedOn w:val="Note"/>
    <w:rsid w:val="00C61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9C9"/>
    <w:rPr>
      <w:b/>
      <w:smallCaps/>
    </w:rPr>
  </w:style>
  <w:style w:type="paragraph" w:customStyle="1" w:styleId="TableListNumber">
    <w:name w:val="Table List Number"/>
    <w:basedOn w:val="ListNumber"/>
    <w:rsid w:val="00C61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9C9"/>
    <w:pPr>
      <w:numPr>
        <w:numId w:val="9"/>
      </w:numPr>
    </w:pPr>
  </w:style>
  <w:style w:type="paragraph" w:customStyle="1" w:styleId="ListAlpha2">
    <w:name w:val="List Alpha 2"/>
    <w:basedOn w:val="List2"/>
    <w:rsid w:val="00C619C9"/>
    <w:pPr>
      <w:numPr>
        <w:numId w:val="8"/>
      </w:numPr>
    </w:pPr>
  </w:style>
  <w:style w:type="paragraph" w:styleId="List2">
    <w:name w:val="List 2"/>
    <w:basedOn w:val="BodyText"/>
    <w:rsid w:val="00C61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9C9"/>
    <w:pPr>
      <w:numPr>
        <w:numId w:val="4"/>
      </w:numPr>
    </w:pPr>
  </w:style>
  <w:style w:type="paragraph" w:styleId="ListContinue2">
    <w:name w:val="List Continue 2"/>
    <w:basedOn w:val="List2"/>
    <w:rsid w:val="00C619C9"/>
    <w:pPr>
      <w:ind w:firstLine="0"/>
    </w:pPr>
  </w:style>
  <w:style w:type="paragraph" w:styleId="ListContinue3">
    <w:name w:val="List Continue 3"/>
    <w:basedOn w:val="List3"/>
    <w:rsid w:val="00C619C9"/>
    <w:pPr>
      <w:ind w:left="1021" w:firstLine="0"/>
    </w:pPr>
  </w:style>
  <w:style w:type="paragraph" w:styleId="ListContinue4">
    <w:name w:val="List Continue 4"/>
    <w:basedOn w:val="List4"/>
    <w:rsid w:val="00C619C9"/>
    <w:pPr>
      <w:ind w:firstLine="0"/>
    </w:pPr>
  </w:style>
  <w:style w:type="paragraph" w:styleId="ListContinue5">
    <w:name w:val="List Continue 5"/>
    <w:basedOn w:val="List5"/>
    <w:rsid w:val="00C619C9"/>
    <w:pPr>
      <w:ind w:firstLine="0"/>
    </w:pPr>
  </w:style>
  <w:style w:type="paragraph" w:styleId="ListNumber3">
    <w:name w:val="List Number 3"/>
    <w:basedOn w:val="List3"/>
    <w:rsid w:val="00C619C9"/>
    <w:pPr>
      <w:numPr>
        <w:numId w:val="5"/>
      </w:numPr>
    </w:pPr>
  </w:style>
  <w:style w:type="paragraph" w:styleId="ListNumber4">
    <w:name w:val="List Number 4"/>
    <w:basedOn w:val="List4"/>
    <w:rsid w:val="00C619C9"/>
    <w:pPr>
      <w:numPr>
        <w:numId w:val="6"/>
      </w:numPr>
    </w:pPr>
  </w:style>
  <w:style w:type="paragraph" w:styleId="ListNumber5">
    <w:name w:val="List Number 5"/>
    <w:basedOn w:val="List5"/>
    <w:rsid w:val="00C619C9"/>
    <w:pPr>
      <w:numPr>
        <w:numId w:val="7"/>
      </w:numPr>
    </w:pPr>
  </w:style>
  <w:style w:type="paragraph" w:styleId="BlockText">
    <w:name w:val="Block Text"/>
    <w:basedOn w:val="Normal"/>
    <w:rsid w:val="00C61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9C9"/>
    <w:rPr>
      <w:sz w:val="16"/>
      <w:vertAlign w:val="superscript"/>
    </w:rPr>
  </w:style>
  <w:style w:type="character" w:customStyle="1" w:styleId="Symbols">
    <w:name w:val="Symbols"/>
    <w:basedOn w:val="DefaultParagraphFont"/>
    <w:rsid w:val="00C619C9"/>
    <w:rPr>
      <w:rFonts w:ascii="Symbol" w:hAnsi="Symbol"/>
    </w:rPr>
  </w:style>
  <w:style w:type="character" w:customStyle="1" w:styleId="MenuOptions">
    <w:name w:val="Menu Options"/>
    <w:basedOn w:val="DefaultParagraphFont"/>
    <w:rsid w:val="00C61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9C9"/>
    <w:rPr>
      <w:b/>
    </w:rPr>
  </w:style>
  <w:style w:type="character" w:customStyle="1" w:styleId="Underlined">
    <w:name w:val="Underlined"/>
    <w:basedOn w:val="DefaultParagraphFont"/>
    <w:rsid w:val="00C619C9"/>
    <w:rPr>
      <w:u w:val="single"/>
    </w:rPr>
  </w:style>
  <w:style w:type="paragraph" w:customStyle="1" w:styleId="TableBodyTextRight">
    <w:name w:val="Table Body Text Right"/>
    <w:basedOn w:val="TableBodyText"/>
    <w:rsid w:val="00C61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9C9"/>
    <w:rPr>
      <w:sz w:val="18"/>
    </w:rPr>
  </w:style>
  <w:style w:type="paragraph" w:customStyle="1" w:styleId="BodySmallRight">
    <w:name w:val="Body Small Right"/>
    <w:basedOn w:val="BodyTextRight"/>
    <w:rsid w:val="00C619C9"/>
    <w:rPr>
      <w:sz w:val="18"/>
      <w:szCs w:val="18"/>
    </w:rPr>
  </w:style>
  <w:style w:type="paragraph" w:customStyle="1" w:styleId="MarginEdition">
    <w:name w:val="Margin Edition"/>
    <w:basedOn w:val="MarginNote"/>
    <w:rsid w:val="00C61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9C9"/>
    <w:rPr>
      <w:sz w:val="2"/>
      <w:szCs w:val="2"/>
    </w:rPr>
  </w:style>
  <w:style w:type="character" w:customStyle="1" w:styleId="Small">
    <w:name w:val="Small"/>
    <w:basedOn w:val="DefaultParagraphFont"/>
    <w:rsid w:val="00C619C9"/>
    <w:rPr>
      <w:sz w:val="16"/>
    </w:rPr>
  </w:style>
  <w:style w:type="paragraph" w:customStyle="1" w:styleId="WideTable">
    <w:name w:val="Wide Table"/>
    <w:basedOn w:val="Normal"/>
    <w:rsid w:val="00C61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9C9"/>
  </w:style>
  <w:style w:type="paragraph" w:styleId="Quote">
    <w:name w:val="Quote"/>
    <w:basedOn w:val="Heading1"/>
    <w:link w:val="QuoteChar"/>
    <w:qFormat/>
    <w:rsid w:val="00C61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9C9"/>
    <w:pPr>
      <w:pageBreakBefore/>
    </w:pPr>
  </w:style>
  <w:style w:type="paragraph" w:customStyle="1" w:styleId="Border">
    <w:name w:val="Border"/>
    <w:basedOn w:val="Normal"/>
    <w:qFormat/>
    <w:rsid w:val="00C61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9C9"/>
    <w:rPr>
      <w:u w:val="single"/>
    </w:rPr>
  </w:style>
  <w:style w:type="character" w:customStyle="1" w:styleId="BoldandItalics">
    <w:name w:val="Bold and Italics"/>
    <w:qFormat/>
    <w:rsid w:val="00C619C9"/>
    <w:rPr>
      <w:b/>
      <w:i/>
      <w:u w:val="none"/>
    </w:rPr>
  </w:style>
  <w:style w:type="paragraph" w:styleId="BalloonText">
    <w:name w:val="Balloon Text"/>
    <w:basedOn w:val="Normal"/>
    <w:link w:val="BalloonTextChar"/>
    <w:rsid w:val="00C6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9C9"/>
    <w:pPr>
      <w:spacing w:before="0" w:after="0"/>
    </w:pPr>
  </w:style>
  <w:style w:type="paragraph" w:customStyle="1" w:styleId="BodyTextBold">
    <w:name w:val="Body Text Bold"/>
    <w:basedOn w:val="BodyText"/>
    <w:qFormat/>
    <w:rsid w:val="00C619C9"/>
    <w:rPr>
      <w:b/>
    </w:rPr>
  </w:style>
  <w:style w:type="character" w:styleId="Hyperlink">
    <w:name w:val="Hyperlink"/>
    <w:basedOn w:val="DefaultParagraphFont"/>
    <w:uiPriority w:val="99"/>
    <w:unhideWhenUsed/>
    <w:rsid w:val="00594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2951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ICTNWK562 Configure internet gateways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