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238E" w:rsidP="00AC23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ICTNPL412 Apply business acumen to network planning</w:t>
      </w:r>
      <w:r>
        <w:fldChar w:fldCharType="end"/>
      </w:r>
    </w:p>
    <w:p w:rsidR="00AC238E" w:rsidP="00AC238E">
      <w:pPr>
        <w:pStyle w:val="Version"/>
        <w:sectPr w:rsidSect="008B08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083E" w:rsidP="008B083E">
      <w:pPr>
        <w:pStyle w:val="SuperHeading"/>
      </w:pPr>
      <w:r w:rsidRPr="008B083E">
        <w:t>Assessment Requirements for ICTNPL412 Apply business acumen to network planning</w:t>
      </w:r>
    </w:p>
    <w:p w:rsidR="00000000" w:rsidRPr="008B083E" w:rsidP="008B083E">
      <w:pPr>
        <w:pStyle w:val="Heading1"/>
      </w:pPr>
      <w:bookmarkStart w:id="1" w:name="O_1141390"/>
      <w:bookmarkEnd w:id="1"/>
      <w:r w:rsidRPr="008B083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8B083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83E" w:rsidP="008B083E">
            <w:pPr>
              <w:pStyle w:val="BodyText"/>
            </w:pPr>
            <w:r w:rsidRPr="008B083E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83E">
            <w:pPr>
              <w:pStyle w:val="BodyText"/>
              <w:rPr>
                <w:lang w:val="en-NZ"/>
              </w:rPr>
            </w:pPr>
            <w:r w:rsidRPr="008B083E">
              <w:rPr>
                <w:rStyle w:val="SpecialBold"/>
              </w:rPr>
              <w:t>Comments</w:t>
            </w:r>
          </w:p>
        </w:tc>
      </w:tr>
      <w:tr w:rsidTr="008B083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83E">
            <w:pPr>
              <w:pStyle w:val="BodyText"/>
              <w:rPr>
                <w:lang w:val="en-NZ"/>
              </w:rPr>
            </w:pPr>
            <w:r w:rsidRPr="008B083E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83E" w:rsidP="008B083E">
            <w:pPr>
              <w:pStyle w:val="BodyText"/>
            </w:pPr>
            <w:r w:rsidRPr="008B083E">
              <w:t>This version first released with ICT Information and Communications Technology Training Package Version 7.0.</w:t>
            </w:r>
          </w:p>
        </w:tc>
      </w:tr>
    </w:tbl>
    <w:p w:rsidR="00000000" w:rsidRPr="008B083E" w:rsidP="008B083E">
      <w:pPr>
        <w:pStyle w:val="BodyText"/>
      </w:pPr>
    </w:p>
    <w:p w:rsidR="00000000" w:rsidRPr="008B083E" w:rsidP="008B083E">
      <w:pPr>
        <w:pStyle w:val="AllowPageBreak"/>
      </w:pPr>
    </w:p>
    <w:p w:rsidR="00000000" w:rsidRPr="008B083E" w:rsidP="008B083E">
      <w:pPr>
        <w:pStyle w:val="Heading1"/>
      </w:pPr>
      <w:bookmarkStart w:id="2" w:name="O_1141391"/>
      <w:bookmarkEnd w:id="2"/>
      <w:r w:rsidRPr="008B083E">
        <w:t>Performance Evidence</w:t>
      </w:r>
    </w:p>
    <w:p w:rsidR="00000000" w:rsidRPr="008B083E" w:rsidP="00AC238E">
      <w:pPr>
        <w:pStyle w:val="BodyText"/>
      </w:pPr>
      <w:r w:rsidRPr="008B083E">
        <w:t>The candidate must demonstrate the ability to complete the tasks outlined in the elements, performance criteria and foundation skills of this unit, including evidence of the ability to:</w:t>
      </w:r>
    </w:p>
    <w:p w:rsidR="00000000" w:rsidRPr="008B083E" w:rsidP="008B083E">
      <w:pPr>
        <w:pStyle w:val="ListBullet"/>
      </w:pPr>
      <w:r w:rsidRPr="008B083E">
        <w:t>analyse financial, demogra</w:t>
      </w:r>
      <w:r w:rsidRPr="008B083E">
        <w:t>phic, technological and usage trends and document for at least two networks.</w:t>
      </w:r>
    </w:p>
    <w:p w:rsidR="00000000" w:rsidRPr="008B083E" w:rsidP="008B083E">
      <w:pPr>
        <w:pStyle w:val="BodyText"/>
      </w:pPr>
    </w:p>
    <w:p w:rsidR="00000000" w:rsidRPr="008B083E" w:rsidP="00AC238E">
      <w:pPr>
        <w:pStyle w:val="BodyText"/>
      </w:pPr>
      <w:r w:rsidRPr="008B083E">
        <w:t>In the course of the above, the candidate must:</w:t>
      </w:r>
    </w:p>
    <w:p w:rsidR="00000000" w:rsidRPr="008B083E" w:rsidP="008B083E">
      <w:pPr>
        <w:pStyle w:val="ListBullet"/>
      </w:pPr>
      <w:r w:rsidRPr="008B083E">
        <w:t>analyse forecasts using customer demand</w:t>
      </w:r>
    </w:p>
    <w:p w:rsidR="00000000" w:rsidRPr="008B083E" w:rsidP="008B083E">
      <w:pPr>
        <w:pStyle w:val="ListBullet"/>
      </w:pPr>
      <w:r w:rsidRPr="008B083E">
        <w:t>build models to develop business cases</w:t>
      </w:r>
    </w:p>
    <w:p w:rsidR="00000000" w:rsidRPr="008B083E" w:rsidP="008B083E">
      <w:pPr>
        <w:pStyle w:val="ListBullet"/>
      </w:pPr>
      <w:r w:rsidRPr="008B083E">
        <w:t>apply financial analysis</w:t>
      </w:r>
    </w:p>
    <w:p w:rsidR="00000000" w:rsidRPr="008B083E" w:rsidP="008B083E">
      <w:pPr>
        <w:pStyle w:val="ListBullet"/>
      </w:pPr>
      <w:r w:rsidRPr="008B083E">
        <w:t>analyse demographic trends for strategy development</w:t>
      </w:r>
    </w:p>
    <w:p w:rsidR="00000000" w:rsidRPr="008B083E" w:rsidP="008B083E">
      <w:pPr>
        <w:pStyle w:val="ListBullet"/>
      </w:pPr>
      <w:r w:rsidRPr="008B083E">
        <w:t>assess technology implementation</w:t>
      </w:r>
    </w:p>
    <w:p w:rsidR="00000000" w:rsidRPr="008B083E" w:rsidP="008B083E">
      <w:pPr>
        <w:pStyle w:val="ListBullet"/>
      </w:pPr>
      <w:r w:rsidRPr="008B083E">
        <w:t>communicate with customers</w:t>
      </w:r>
    </w:p>
    <w:p w:rsidR="00000000" w:rsidRPr="008B083E" w:rsidP="008B083E">
      <w:pPr>
        <w:pStyle w:val="ListBullet"/>
      </w:pPr>
      <w:r w:rsidRPr="008B083E">
        <w:t>evaluate network deployment architecture.</w:t>
      </w:r>
    </w:p>
    <w:p w:rsidR="00000000" w:rsidRPr="008B083E" w:rsidP="008B083E">
      <w:pPr>
        <w:pStyle w:val="AllowPageBreak"/>
      </w:pPr>
    </w:p>
    <w:p w:rsidR="00000000" w:rsidRPr="008B083E" w:rsidP="008B083E">
      <w:pPr>
        <w:pStyle w:val="Heading1"/>
      </w:pPr>
      <w:bookmarkStart w:id="3" w:name="O_1141392"/>
      <w:bookmarkEnd w:id="3"/>
      <w:r w:rsidRPr="008B083E">
        <w:t>Knowledge Evidence</w:t>
      </w:r>
    </w:p>
    <w:p w:rsidR="00000000" w:rsidRPr="008B083E" w:rsidP="00AC238E">
      <w:pPr>
        <w:pStyle w:val="BodyText"/>
      </w:pPr>
      <w:r w:rsidRPr="008B083E">
        <w:t xml:space="preserve">The candidate must be able to demonstrate knowledge to complete </w:t>
      </w:r>
      <w:r w:rsidRPr="008B083E">
        <w:t>the tasks outlined in the elements, performance criteria and foundation skills of this unit, including knowledge of:</w:t>
      </w:r>
    </w:p>
    <w:p w:rsidR="00000000" w:rsidRPr="008B083E" w:rsidP="008B083E">
      <w:pPr>
        <w:pStyle w:val="ListBullet"/>
      </w:pPr>
      <w:r w:rsidRPr="008B083E">
        <w:t>methods of organising network information and usage data</w:t>
      </w:r>
    </w:p>
    <w:p w:rsidR="00000000" w:rsidRPr="008B083E" w:rsidP="008B083E">
      <w:pPr>
        <w:pStyle w:val="ListBullet"/>
      </w:pPr>
      <w:r w:rsidRPr="008B083E">
        <w:t>methods to determine trends in customer network demands, operating environments a</w:t>
      </w:r>
      <w:r w:rsidRPr="008B083E">
        <w:t>nd markets</w:t>
      </w:r>
    </w:p>
    <w:p w:rsidR="00000000" w:rsidRPr="008B083E" w:rsidP="008B083E">
      <w:pPr>
        <w:pStyle w:val="ListBullet"/>
      </w:pPr>
      <w:r w:rsidRPr="008B083E">
        <w:t>emerging telecommunications and networking technologies</w:t>
      </w:r>
    </w:p>
    <w:p w:rsidR="00000000" w:rsidRPr="008B083E" w:rsidP="008B083E">
      <w:pPr>
        <w:pStyle w:val="ListBullet"/>
      </w:pPr>
      <w:r w:rsidRPr="008B083E">
        <w:t>principles and techniques of:</w:t>
      </w:r>
    </w:p>
    <w:p w:rsidR="00000000" w:rsidRPr="008B083E" w:rsidP="008B083E">
      <w:pPr>
        <w:pStyle w:val="ListBullet2"/>
      </w:pPr>
      <w:r w:rsidRPr="008B083E">
        <w:t>network planning strategies</w:t>
      </w:r>
    </w:p>
    <w:p w:rsidR="00000000" w:rsidRPr="008B083E" w:rsidP="008B083E">
      <w:pPr>
        <w:pStyle w:val="ListBullet2"/>
      </w:pPr>
      <w:r w:rsidRPr="008B083E">
        <w:t>analysing financial, demographic and technological trends in networks</w:t>
      </w:r>
    </w:p>
    <w:p w:rsidR="00000000" w:rsidRPr="008B083E" w:rsidP="008B083E">
      <w:pPr>
        <w:pStyle w:val="ListBullet2"/>
      </w:pPr>
      <w:r w:rsidRPr="008B083E">
        <w:t>constructing network models</w:t>
      </w:r>
    </w:p>
    <w:p w:rsidR="00000000" w:rsidRPr="008B083E" w:rsidP="008B083E">
      <w:pPr>
        <w:pStyle w:val="ListBullet2"/>
      </w:pPr>
      <w:r w:rsidRPr="008B083E">
        <w:t>financial modelling</w:t>
      </w:r>
    </w:p>
    <w:p w:rsidR="00000000" w:rsidRPr="008B083E" w:rsidP="008B083E">
      <w:pPr>
        <w:pStyle w:val="ListBullet2"/>
      </w:pPr>
      <w:r w:rsidRPr="008B083E">
        <w:t>forecasting trends</w:t>
      </w:r>
    </w:p>
    <w:p w:rsidR="00000000" w:rsidRPr="008B083E" w:rsidP="008B083E">
      <w:pPr>
        <w:pStyle w:val="ListBullet"/>
      </w:pPr>
      <w:r w:rsidRPr="008B083E">
        <w:t>legislative rights of required telecommunications network carriers and service providers</w:t>
      </w:r>
    </w:p>
    <w:p w:rsidR="00000000" w:rsidRPr="008B083E" w:rsidP="008B083E">
      <w:pPr>
        <w:pStyle w:val="ListBullet"/>
      </w:pPr>
      <w:r w:rsidRPr="008B083E">
        <w:t>commercial considerations of implementing network plans, including:</w:t>
      </w:r>
    </w:p>
    <w:p w:rsidR="00000000" w:rsidRPr="008B083E" w:rsidP="008B083E">
      <w:pPr>
        <w:pStyle w:val="ListBullet2"/>
      </w:pPr>
      <w:r w:rsidRPr="008B083E">
        <w:t>capital expenditure (CAPEX)</w:t>
      </w:r>
    </w:p>
    <w:p w:rsidR="00000000" w:rsidRPr="008B083E" w:rsidP="008B083E">
      <w:pPr>
        <w:pStyle w:val="ListBullet2"/>
      </w:pPr>
      <w:r w:rsidRPr="008B083E">
        <w:t>operational expenditure (OPEX)</w:t>
      </w:r>
    </w:p>
    <w:p w:rsidR="00000000" w:rsidRPr="008B083E" w:rsidP="008B083E">
      <w:pPr>
        <w:pStyle w:val="ListBullet2"/>
      </w:pPr>
      <w:r w:rsidRPr="008B083E">
        <w:t>product revenue and</w:t>
      </w:r>
      <w:r w:rsidRPr="008B083E">
        <w:t xml:space="preserve"> demand versus network costs</w:t>
      </w:r>
    </w:p>
    <w:p w:rsidR="00000000" w:rsidRPr="008B083E" w:rsidP="008B083E">
      <w:pPr>
        <w:pStyle w:val="ListBullet2"/>
      </w:pPr>
      <w:r w:rsidRPr="008B083E">
        <w:t>return on investment (RoI)</w:t>
      </w:r>
    </w:p>
    <w:p w:rsidR="00000000" w:rsidRPr="008B083E" w:rsidP="008B083E">
      <w:pPr>
        <w:pStyle w:val="ListBullet2"/>
      </w:pPr>
      <w:r w:rsidRPr="008B083E">
        <w:t>time to market</w:t>
      </w:r>
    </w:p>
    <w:p w:rsidR="00000000" w:rsidRPr="008B083E" w:rsidP="008B083E">
      <w:pPr>
        <w:pStyle w:val="ListBullet"/>
      </w:pPr>
      <w:r w:rsidRPr="008B083E">
        <w:t>principles and techniques of financial investment tools, including:</w:t>
      </w:r>
    </w:p>
    <w:p w:rsidR="00000000" w:rsidRPr="008B083E" w:rsidP="008B083E">
      <w:pPr>
        <w:pStyle w:val="ListBullet2"/>
      </w:pPr>
      <w:r w:rsidRPr="008B083E">
        <w:t>cost-benefit analysis</w:t>
      </w:r>
    </w:p>
    <w:p w:rsidR="00000000" w:rsidRPr="008B083E" w:rsidP="008B083E">
      <w:pPr>
        <w:pStyle w:val="ListBullet2"/>
      </w:pPr>
      <w:r w:rsidRPr="008B083E">
        <w:t>investment management systems</w:t>
      </w:r>
    </w:p>
    <w:p w:rsidR="00000000" w:rsidRPr="008B083E" w:rsidP="008B083E">
      <w:pPr>
        <w:pStyle w:val="ListBullet2"/>
      </w:pPr>
      <w:r w:rsidRPr="008B083E">
        <w:t>net present value (NPV)</w:t>
      </w:r>
    </w:p>
    <w:p w:rsidR="00000000" w:rsidRPr="008B083E" w:rsidP="008B083E">
      <w:pPr>
        <w:pStyle w:val="ListBullet"/>
      </w:pPr>
      <w:r w:rsidRPr="008B083E">
        <w:t>legislation, codes, regulations and standards, work health and safety (WHS) requirements and organisational requirements for scoped work, including:</w:t>
      </w:r>
    </w:p>
    <w:p w:rsidR="00000000" w:rsidRPr="008B083E" w:rsidP="008B083E">
      <w:pPr>
        <w:pStyle w:val="ListBullet2"/>
      </w:pPr>
      <w:r w:rsidRPr="008B083E">
        <w:t>Australian competition and consumer affairs</w:t>
      </w:r>
    </w:p>
    <w:p w:rsidR="00000000" w:rsidRPr="008B083E" w:rsidP="008B083E">
      <w:pPr>
        <w:pStyle w:val="ListBullet2"/>
      </w:pPr>
      <w:r w:rsidRPr="008B083E">
        <w:t>telecommunications industry regulatory accounting</w:t>
      </w:r>
    </w:p>
    <w:p w:rsidR="00000000" w:rsidRPr="008B083E" w:rsidP="008B083E">
      <w:pPr>
        <w:pStyle w:val="ListBullet2"/>
      </w:pPr>
      <w:r w:rsidRPr="008B083E">
        <w:t>universal se</w:t>
      </w:r>
      <w:r w:rsidRPr="008B083E">
        <w:t>rvices obligations.</w:t>
      </w:r>
    </w:p>
    <w:p w:rsidR="00000000" w:rsidRPr="008B083E" w:rsidP="008B083E">
      <w:pPr>
        <w:pStyle w:val="AllowPageBreak"/>
      </w:pPr>
    </w:p>
    <w:p w:rsidR="00000000" w:rsidRPr="008B083E" w:rsidP="008B083E">
      <w:pPr>
        <w:pStyle w:val="Heading1"/>
      </w:pPr>
      <w:bookmarkStart w:id="4" w:name="O_1141393"/>
      <w:bookmarkEnd w:id="4"/>
      <w:r w:rsidRPr="008B083E">
        <w:t>Assessment Conditions</w:t>
      </w:r>
    </w:p>
    <w:p w:rsidR="00000000" w:rsidRPr="008B083E" w:rsidP="00AC238E">
      <w:pPr>
        <w:pStyle w:val="BodyText"/>
      </w:pPr>
      <w:r w:rsidRPr="008B083E">
        <w:t xml:space="preserve">Skills in this unit must be demonstrated in a workplace or simulated environment where the conditions are typical of those in a working environment in this industry. </w:t>
      </w:r>
    </w:p>
    <w:p w:rsidR="00000000" w:rsidRPr="008B083E" w:rsidP="00AC238E">
      <w:pPr>
        <w:pStyle w:val="BodyText"/>
      </w:pPr>
      <w:r w:rsidRPr="008B083E">
        <w:t>This includes access to:</w:t>
      </w:r>
    </w:p>
    <w:p w:rsidR="00000000" w:rsidRPr="008B083E" w:rsidP="008B083E">
      <w:pPr>
        <w:pStyle w:val="ListBullet"/>
      </w:pPr>
      <w:r w:rsidRPr="008B083E">
        <w:t>ne</w:t>
      </w:r>
      <w:r w:rsidRPr="008B083E">
        <w:t>twork planning data</w:t>
      </w:r>
    </w:p>
    <w:p w:rsidR="00000000" w:rsidRPr="008B083E" w:rsidP="008B083E">
      <w:pPr>
        <w:pStyle w:val="ListBullet"/>
      </w:pPr>
      <w:r w:rsidRPr="008B083E">
        <w:t>relevant databases</w:t>
      </w:r>
    </w:p>
    <w:p w:rsidR="00000000" w:rsidRPr="008B083E" w:rsidP="008B083E">
      <w:pPr>
        <w:pStyle w:val="ListBullet"/>
      </w:pPr>
      <w:r w:rsidRPr="008B083E">
        <w:t>business and financial models</w:t>
      </w:r>
    </w:p>
    <w:p w:rsidR="00000000" w:rsidRPr="008B083E" w:rsidP="008B083E">
      <w:pPr>
        <w:pStyle w:val="ListBullet"/>
      </w:pPr>
      <w:r w:rsidRPr="008B083E">
        <w:t>systems and deployment rules and relevant legislation</w:t>
      </w:r>
    </w:p>
    <w:p w:rsidR="00000000" w:rsidRPr="008B083E" w:rsidP="008B083E">
      <w:pPr>
        <w:pStyle w:val="ListBullet"/>
      </w:pPr>
      <w:r w:rsidRPr="008B083E">
        <w:t>planning processes and regulatory frameworks.</w:t>
      </w:r>
    </w:p>
    <w:p w:rsidR="00000000" w:rsidRPr="008B083E" w:rsidP="008B083E">
      <w:pPr>
        <w:pStyle w:val="AllowPageBreak"/>
      </w:pPr>
    </w:p>
    <w:p w:rsidR="00000000" w:rsidRPr="008B083E" w:rsidP="008B083E">
      <w:pPr>
        <w:pStyle w:val="Heading1"/>
      </w:pPr>
      <w:bookmarkStart w:id="5" w:name="O_1141396"/>
      <w:bookmarkEnd w:id="5"/>
      <w:r w:rsidRPr="008B083E">
        <w:t>Links</w:t>
      </w:r>
    </w:p>
    <w:p w:rsidR="00000000" w:rsidRPr="008B083E" w:rsidP="00AC238E">
      <w:pPr>
        <w:pStyle w:val="BodyText"/>
      </w:pPr>
      <w:r w:rsidRPr="008B083E">
        <w:t xml:space="preserve">Companion Volume Implementation Guide is found on </w:t>
      </w:r>
      <w:r w:rsidRPr="008B083E">
        <w:t xml:space="preserve">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C014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B083E" w:rsidP="008B083E"/>
    <w:sectPr w:rsidSect="008B08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8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83E" w:rsidRPr="00AC238E" w:rsidP="00AC23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8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38E" w:rsidP="008B08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238E" w:rsidP="008B08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C238E" w:rsidP="008B08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8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3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083E" w:rsidRPr="00AC238E" w:rsidP="00AC23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8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38E" w:rsidRPr="002D2AF8" w:rsidP="008B08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ICTNPL412 Apply business acumen to network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C238E" w:rsidP="008B08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2002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4A0C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3252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8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08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08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08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08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08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08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08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08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08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08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083E"/>
  </w:style>
  <w:style w:type="character" w:customStyle="1" w:styleId="Heading1Char">
    <w:name w:val="Heading 1 Char"/>
    <w:basedOn w:val="DefaultParagraphFont"/>
    <w:link w:val="Heading1"/>
    <w:rsid w:val="008B08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08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08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08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083E"/>
    <w:rPr>
      <w:b/>
      <w:spacing w:val="0"/>
    </w:rPr>
  </w:style>
  <w:style w:type="paragraph" w:styleId="ListBullet2">
    <w:name w:val="List Bullet 2"/>
    <w:basedOn w:val="List2"/>
    <w:rsid w:val="008B08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08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08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08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08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08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08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08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08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08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08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08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08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08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08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08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08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08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08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08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08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08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08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08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08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08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08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08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08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08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08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08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08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08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08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083E"/>
    <w:rPr>
      <w:i/>
    </w:rPr>
  </w:style>
  <w:style w:type="paragraph" w:styleId="Caption">
    <w:name w:val="caption"/>
    <w:basedOn w:val="BodyText"/>
    <w:next w:val="Normal"/>
    <w:qFormat/>
    <w:rsid w:val="008B08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08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08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083E"/>
  </w:style>
  <w:style w:type="paragraph" w:styleId="TableofFigures">
    <w:name w:val="table of figures"/>
    <w:basedOn w:val="Normal"/>
    <w:next w:val="Normal"/>
    <w:semiHidden/>
    <w:rsid w:val="008B08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08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083E"/>
    <w:rPr>
      <w:rFonts w:ascii="Wingdings" w:hAnsi="Wingdings"/>
    </w:rPr>
  </w:style>
  <w:style w:type="paragraph" w:customStyle="1" w:styleId="TableHeading">
    <w:name w:val="Table Heading"/>
    <w:basedOn w:val="HeadingBase"/>
    <w:rsid w:val="008B08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083E"/>
    <w:rPr>
      <w:color w:val="0033CC"/>
      <w:u w:val="none"/>
    </w:rPr>
  </w:style>
  <w:style w:type="paragraph" w:customStyle="1" w:styleId="BodyTextRight">
    <w:name w:val="Body Text Right"/>
    <w:basedOn w:val="BodyText"/>
    <w:rsid w:val="008B08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08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08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08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08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08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083E"/>
    <w:rPr>
      <w:sz w:val="32"/>
    </w:rPr>
  </w:style>
  <w:style w:type="paragraph" w:customStyle="1" w:styleId="HeadingProcedure">
    <w:name w:val="Heading Procedure"/>
    <w:basedOn w:val="HeadingBase"/>
    <w:next w:val="Normal"/>
    <w:rsid w:val="008B08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083E"/>
    <w:pPr>
      <w:spacing w:before="60" w:after="60"/>
    </w:pPr>
  </w:style>
  <w:style w:type="paragraph" w:styleId="ListContinue">
    <w:name w:val="List Continue"/>
    <w:basedOn w:val="List"/>
    <w:rsid w:val="008B083E"/>
    <w:pPr>
      <w:ind w:firstLine="0"/>
    </w:pPr>
  </w:style>
  <w:style w:type="paragraph" w:customStyle="1" w:styleId="ListNote">
    <w:name w:val="List Note"/>
    <w:basedOn w:val="List"/>
    <w:rsid w:val="008B08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08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08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083E"/>
    <w:rPr>
      <w:rFonts w:ascii="Courier New" w:hAnsi="Courier New"/>
    </w:rPr>
  </w:style>
  <w:style w:type="paragraph" w:customStyle="1" w:styleId="NoteBullet">
    <w:name w:val="Note Bullet"/>
    <w:basedOn w:val="Note"/>
    <w:rsid w:val="008B08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08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08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08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08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08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08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083E"/>
    <w:rPr>
      <w:b/>
      <w:smallCaps/>
    </w:rPr>
  </w:style>
  <w:style w:type="paragraph" w:customStyle="1" w:styleId="TableListNumber">
    <w:name w:val="Table List Number"/>
    <w:basedOn w:val="ListNumber"/>
    <w:rsid w:val="008B08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08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083E"/>
    <w:pPr>
      <w:numPr>
        <w:numId w:val="9"/>
      </w:numPr>
    </w:pPr>
  </w:style>
  <w:style w:type="paragraph" w:customStyle="1" w:styleId="ListAlpha2">
    <w:name w:val="List Alpha 2"/>
    <w:basedOn w:val="List2"/>
    <w:rsid w:val="008B083E"/>
    <w:pPr>
      <w:numPr>
        <w:numId w:val="8"/>
      </w:numPr>
    </w:pPr>
  </w:style>
  <w:style w:type="paragraph" w:styleId="List2">
    <w:name w:val="List 2"/>
    <w:basedOn w:val="BodyText"/>
    <w:rsid w:val="008B08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08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08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08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08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08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083E"/>
    <w:pPr>
      <w:numPr>
        <w:numId w:val="4"/>
      </w:numPr>
    </w:pPr>
  </w:style>
  <w:style w:type="paragraph" w:styleId="ListContinue2">
    <w:name w:val="List Continue 2"/>
    <w:basedOn w:val="List2"/>
    <w:rsid w:val="008B083E"/>
    <w:pPr>
      <w:ind w:firstLine="0"/>
    </w:pPr>
  </w:style>
  <w:style w:type="paragraph" w:styleId="ListContinue3">
    <w:name w:val="List Continue 3"/>
    <w:basedOn w:val="List3"/>
    <w:rsid w:val="008B083E"/>
    <w:pPr>
      <w:ind w:left="1021" w:firstLine="0"/>
    </w:pPr>
  </w:style>
  <w:style w:type="paragraph" w:styleId="ListContinue4">
    <w:name w:val="List Continue 4"/>
    <w:basedOn w:val="List4"/>
    <w:rsid w:val="008B083E"/>
    <w:pPr>
      <w:ind w:firstLine="0"/>
    </w:pPr>
  </w:style>
  <w:style w:type="paragraph" w:styleId="ListContinue5">
    <w:name w:val="List Continue 5"/>
    <w:basedOn w:val="List5"/>
    <w:rsid w:val="008B083E"/>
    <w:pPr>
      <w:ind w:firstLine="0"/>
    </w:pPr>
  </w:style>
  <w:style w:type="paragraph" w:styleId="ListNumber3">
    <w:name w:val="List Number 3"/>
    <w:basedOn w:val="List3"/>
    <w:rsid w:val="008B083E"/>
    <w:pPr>
      <w:numPr>
        <w:numId w:val="5"/>
      </w:numPr>
    </w:pPr>
  </w:style>
  <w:style w:type="paragraph" w:styleId="ListNumber4">
    <w:name w:val="List Number 4"/>
    <w:basedOn w:val="List4"/>
    <w:rsid w:val="008B083E"/>
    <w:pPr>
      <w:numPr>
        <w:numId w:val="6"/>
      </w:numPr>
    </w:pPr>
  </w:style>
  <w:style w:type="paragraph" w:styleId="ListNumber5">
    <w:name w:val="List Number 5"/>
    <w:basedOn w:val="List5"/>
    <w:rsid w:val="008B083E"/>
    <w:pPr>
      <w:numPr>
        <w:numId w:val="7"/>
      </w:numPr>
    </w:pPr>
  </w:style>
  <w:style w:type="paragraph" w:styleId="BlockText">
    <w:name w:val="Block Text"/>
    <w:basedOn w:val="Normal"/>
    <w:rsid w:val="008B08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08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083E"/>
    <w:rPr>
      <w:sz w:val="16"/>
      <w:vertAlign w:val="superscript"/>
    </w:rPr>
  </w:style>
  <w:style w:type="character" w:customStyle="1" w:styleId="Symbols">
    <w:name w:val="Symbols"/>
    <w:basedOn w:val="DefaultParagraphFont"/>
    <w:rsid w:val="008B083E"/>
    <w:rPr>
      <w:rFonts w:ascii="Symbol" w:hAnsi="Symbol"/>
    </w:rPr>
  </w:style>
  <w:style w:type="character" w:customStyle="1" w:styleId="MenuOptions">
    <w:name w:val="Menu Options"/>
    <w:basedOn w:val="DefaultParagraphFont"/>
    <w:rsid w:val="008B08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083E"/>
    <w:rPr>
      <w:b/>
    </w:rPr>
  </w:style>
  <w:style w:type="character" w:customStyle="1" w:styleId="Underlined">
    <w:name w:val="Underlined"/>
    <w:basedOn w:val="DefaultParagraphFont"/>
    <w:rsid w:val="008B083E"/>
    <w:rPr>
      <w:u w:val="single"/>
    </w:rPr>
  </w:style>
  <w:style w:type="paragraph" w:customStyle="1" w:styleId="TableBodyTextRight">
    <w:name w:val="Table Body Text Right"/>
    <w:basedOn w:val="TableBodyText"/>
    <w:rsid w:val="008B08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083E"/>
    <w:rPr>
      <w:sz w:val="18"/>
    </w:rPr>
  </w:style>
  <w:style w:type="paragraph" w:customStyle="1" w:styleId="BodySmallRight">
    <w:name w:val="Body Small Right"/>
    <w:basedOn w:val="BodyTextRight"/>
    <w:rsid w:val="008B083E"/>
    <w:rPr>
      <w:sz w:val="18"/>
      <w:szCs w:val="18"/>
    </w:rPr>
  </w:style>
  <w:style w:type="paragraph" w:customStyle="1" w:styleId="MarginEdition">
    <w:name w:val="Margin Edition"/>
    <w:basedOn w:val="MarginNote"/>
    <w:rsid w:val="008B08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083E"/>
    <w:rPr>
      <w:sz w:val="2"/>
      <w:szCs w:val="2"/>
    </w:rPr>
  </w:style>
  <w:style w:type="character" w:customStyle="1" w:styleId="Small">
    <w:name w:val="Small"/>
    <w:basedOn w:val="DefaultParagraphFont"/>
    <w:rsid w:val="008B083E"/>
    <w:rPr>
      <w:sz w:val="16"/>
    </w:rPr>
  </w:style>
  <w:style w:type="paragraph" w:customStyle="1" w:styleId="WideTable">
    <w:name w:val="Wide Table"/>
    <w:basedOn w:val="Normal"/>
    <w:rsid w:val="008B08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083E"/>
  </w:style>
  <w:style w:type="paragraph" w:styleId="Quote">
    <w:name w:val="Quote"/>
    <w:basedOn w:val="Heading1"/>
    <w:link w:val="QuoteChar"/>
    <w:qFormat/>
    <w:rsid w:val="008B08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08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083E"/>
    <w:pPr>
      <w:pageBreakBefore/>
    </w:pPr>
  </w:style>
  <w:style w:type="paragraph" w:customStyle="1" w:styleId="Border">
    <w:name w:val="Border"/>
    <w:basedOn w:val="Normal"/>
    <w:qFormat/>
    <w:rsid w:val="008B08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08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8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8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08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08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08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08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08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083E"/>
    <w:rPr>
      <w:u w:val="single"/>
    </w:rPr>
  </w:style>
  <w:style w:type="character" w:customStyle="1" w:styleId="BoldandItalics">
    <w:name w:val="Bold and Italics"/>
    <w:qFormat/>
    <w:rsid w:val="008B083E"/>
    <w:rPr>
      <w:b/>
      <w:i/>
      <w:u w:val="none"/>
    </w:rPr>
  </w:style>
  <w:style w:type="paragraph" w:styleId="BalloonText">
    <w:name w:val="Balloon Text"/>
    <w:basedOn w:val="Normal"/>
    <w:link w:val="BalloonTextChar"/>
    <w:rsid w:val="008B08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08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08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08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08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08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083E"/>
    <w:pPr>
      <w:spacing w:before="0" w:after="0"/>
    </w:pPr>
  </w:style>
  <w:style w:type="paragraph" w:customStyle="1" w:styleId="BodyTextBold">
    <w:name w:val="Body Text Bold"/>
    <w:basedOn w:val="BodyText"/>
    <w:qFormat/>
    <w:rsid w:val="008B083E"/>
    <w:rPr>
      <w:b/>
    </w:rPr>
  </w:style>
  <w:style w:type="character" w:styleId="Hyperlink">
    <w:name w:val="Hyperlink"/>
    <w:basedOn w:val="DefaultParagraphFont"/>
    <w:uiPriority w:val="99"/>
    <w:unhideWhenUsed/>
    <w:rsid w:val="00AC23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367</Words>
  <Characters>2616</Characters>
  <Application>Microsoft Office Word</Application>
  <DocSecurity>0</DocSecurity>
  <Lines>76</Lines>
  <Paragraphs>64</Paragraphs>
  <ScaleCrop>false</ScaleCrop>
  <Company>Author-it Software Corporation Ltd.</Company>
  <LinksUpToDate>false</LinksUpToDate>
  <CharactersWithSpaces>2919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ICTNPL412 Apply business acumen to network planning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2024-12-17T22:27:00Z</dcterms:created>
  <dcterms:modified xsi:type="dcterms:W3CDTF">2024-12-17T22:27:00Z</dcterms:modified>
</cp:coreProperties>
</file>