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E6F" w:rsidP="00221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ICTNPL411 Apply compliance requirements to telecommunications work</w:t>
      </w:r>
      <w:r>
        <w:fldChar w:fldCharType="end"/>
      </w:r>
    </w:p>
    <w:p w:rsidR="00221E6F" w:rsidP="00221E6F">
      <w:pPr>
        <w:pStyle w:val="Version"/>
        <w:sectPr w:rsidSect="00F64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679" w:rsidP="00F64679">
      <w:pPr>
        <w:pStyle w:val="SuperHeading"/>
      </w:pPr>
      <w:r w:rsidRPr="00F64679">
        <w:t>ICTNPL411 Apply compliance requirements to telecommunications work</w:t>
      </w:r>
    </w:p>
    <w:p w:rsidR="00000000" w:rsidRPr="00F64679" w:rsidP="00F64679">
      <w:pPr>
        <w:pStyle w:val="Heading1"/>
      </w:pPr>
      <w:bookmarkStart w:id="1" w:name="O_758668"/>
      <w:bookmarkEnd w:id="1"/>
      <w:r w:rsidRPr="00F646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F64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rPr>
                <w:rStyle w:val="SpecialBold"/>
              </w:rPr>
              <w:t>Comments</w:t>
            </w:r>
          </w:p>
        </w:tc>
      </w:tr>
      <w:tr w:rsidTr="00F64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t>This version first released with ICT Information and Communications Technology Training Package Version 2.0.</w:t>
            </w:r>
          </w:p>
        </w:tc>
      </w:tr>
    </w:tbl>
    <w:p w:rsidR="00000000" w:rsidRPr="00F64679" w:rsidP="00F64679">
      <w:pPr>
        <w:pStyle w:val="BodyText"/>
      </w:pPr>
    </w:p>
    <w:p w:rsidR="00000000" w:rsidRPr="00F64679" w:rsidP="00F64679">
      <w:pPr>
        <w:pStyle w:val="AllowPageBreak"/>
      </w:pPr>
    </w:p>
    <w:p w:rsidR="00000000" w:rsidRPr="00F64679" w:rsidP="00F64679">
      <w:pPr>
        <w:pStyle w:val="Heading1"/>
      </w:pPr>
      <w:bookmarkStart w:id="2" w:name="O_758669"/>
      <w:bookmarkEnd w:id="2"/>
      <w:r w:rsidRPr="00F64679">
        <w:t>Application</w:t>
      </w:r>
    </w:p>
    <w:p w:rsidR="00000000" w:rsidRPr="00F64679" w:rsidP="00221E6F">
      <w:pPr>
        <w:pStyle w:val="BodyText"/>
      </w:pPr>
      <w:r w:rsidRPr="00F64679">
        <w:t>This unit describes the skills and knowledge required to satisfy the regulatory environment in the planning, design and installation of telecommunications equipment and infrastructure.</w:t>
      </w:r>
    </w:p>
    <w:p w:rsidR="00000000" w:rsidRPr="00F64679" w:rsidP="00221E6F">
      <w:pPr>
        <w:pStyle w:val="BodyText"/>
      </w:pPr>
      <w:r w:rsidRPr="00F64679">
        <w:t>It applies to individuals with the organisational, economic and regulation skills to enable them to plan and design the access network infrastructure of private and/or carrier service providers.  These individuals may be responsible for small projects or p</w:t>
      </w:r>
      <w:r w:rsidRPr="00F64679">
        <w:t>arts of larger projects and for the operation and engineering of the enterprise and telecommunications network in general.</w:t>
      </w:r>
    </w:p>
    <w:p w:rsidR="00000000" w:rsidRPr="00F64679" w:rsidP="00221E6F">
      <w:pPr>
        <w:pStyle w:val="BodyText"/>
      </w:pPr>
      <w:r w:rsidRPr="00F64679">
        <w:t>No licensing, legislative or certification requirements apply to this unit at the time of publication.</w:t>
      </w:r>
    </w:p>
    <w:p w:rsidR="00000000" w:rsidRPr="00F64679" w:rsidP="00F64679">
      <w:pPr>
        <w:pStyle w:val="Heading1"/>
      </w:pPr>
      <w:bookmarkStart w:id="3" w:name="O_758672"/>
      <w:bookmarkEnd w:id="3"/>
      <w:r w:rsidRPr="00F64679">
        <w:t>Unit Sector</w:t>
      </w:r>
    </w:p>
    <w:p w:rsidR="00000000" w:rsidRPr="00F64679" w:rsidP="00221E6F">
      <w:pPr>
        <w:pStyle w:val="BodyText"/>
      </w:pPr>
      <w:r w:rsidRPr="00F64679">
        <w:t>Telecommunications – Network Planning</w:t>
      </w:r>
    </w:p>
    <w:p w:rsidR="00000000" w:rsidRPr="00F64679" w:rsidP="00F64679">
      <w:pPr>
        <w:pStyle w:val="Heading1"/>
      </w:pPr>
      <w:bookmarkStart w:id="4" w:name="O_758673"/>
      <w:bookmarkEnd w:id="4"/>
      <w:r w:rsidRPr="00F64679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6953"/>
      </w:tblGrid>
      <w:tr w:rsidTr="00F64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Element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rPr>
                <w:rStyle w:val="SpecialBold"/>
              </w:rPr>
              <w:t>Performance Criteria</w:t>
            </w:r>
          </w:p>
        </w:tc>
      </w:tr>
      <w:tr w:rsidTr="00F64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Emphasis"/>
              </w:rPr>
              <w:t>Elements describe the essential outcomes.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4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 xml:space="preserve">1. Evaluate design for activities subject to standards, regulations, codes of practice and </w:t>
            </w:r>
            <w:r w:rsidRPr="00F64679">
              <w:t>legislation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t xml:space="preserve">1.1 Research the range of activities subject to regulations, standards, legislation and codes of practice for their design </w:t>
            </w:r>
          </w:p>
          <w:p w:rsidR="00000000" w:rsidRPr="00F64679" w:rsidP="00F64679">
            <w:pPr>
              <w:pStyle w:val="BodyText"/>
            </w:pPr>
            <w:r w:rsidRPr="00F64679">
              <w:t xml:space="preserve">1.2 Examine organisational </w:t>
            </w:r>
            <w:r w:rsidRPr="00F64679">
              <w:t xml:space="preserve">procedures developed to deal with these requirements. </w:t>
            </w:r>
          </w:p>
          <w:p w:rsidR="00000000" w:rsidRPr="00F64679" w:rsidP="00F64679">
            <w:pPr>
              <w:pStyle w:val="BodyText"/>
            </w:pPr>
            <w:r w:rsidRPr="00F64679">
              <w:t>1.3 Examine construction requirements for each activity and determine any applicable regulations, codes or practices,</w:t>
            </w:r>
          </w:p>
          <w:p w:rsidR="00000000" w:rsidRPr="00F64679" w:rsidP="00F64679">
            <w:pPr>
              <w:pStyle w:val="BodyText"/>
            </w:pPr>
            <w:r w:rsidRPr="00F64679">
              <w:t>1.4 Access knowledge bases, authorities and records for areas and activities covere</w:t>
            </w:r>
            <w:r w:rsidRPr="00F64679">
              <w:t>d by these requirements,</w:t>
            </w:r>
          </w:p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 xml:space="preserve">1.5 Examine public records for planning restrictions that may impact the design and construction of a telecommunications network </w:t>
            </w:r>
          </w:p>
        </w:tc>
      </w:tr>
      <w:tr w:rsidTr="00F64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 xml:space="preserve">2. Evaluate design for activities that require approval to enter land or premises 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t xml:space="preserve">2.1 Determine the rights of entry and notifications necessary to enter property for the purpose of designing telecommunications facilities </w:t>
            </w:r>
          </w:p>
          <w:p w:rsidR="00000000" w:rsidRPr="00F64679" w:rsidP="00F64679">
            <w:pPr>
              <w:pStyle w:val="BodyText"/>
            </w:pPr>
            <w:r w:rsidRPr="00F64679">
              <w:t xml:space="preserve">2.2 Examine what courses of action are available in case of dispute </w:t>
            </w:r>
          </w:p>
          <w:p w:rsidR="00000000" w:rsidRPr="00F64679" w:rsidP="00F64679">
            <w:pPr>
              <w:pStyle w:val="BodyText"/>
            </w:pPr>
            <w:r w:rsidRPr="00F64679">
              <w:t>2.3 Access legislation governing carriers and s</w:t>
            </w:r>
            <w:r w:rsidRPr="00F64679">
              <w:t xml:space="preserve">ervice providers in Australia to determine the rights of carriers and service providers in installing facilities under Commonwealth legislation </w:t>
            </w:r>
          </w:p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2.4 Determine activities that must be undertaken during survey and construction to meet the various requirement</w:t>
            </w:r>
            <w:r w:rsidRPr="00F64679">
              <w:t xml:space="preserve">s </w:t>
            </w:r>
          </w:p>
        </w:tc>
      </w:tr>
      <w:tr w:rsidTr="00F64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 xml:space="preserve">3. Examine processes necessary to facilitate completion of a design to meet the relevant regulatory environments 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t>3.1 Discuss with governing authorities, consultants and other industry experts the steps necessary to meet the legislative requirements of</w:t>
            </w:r>
            <w:r w:rsidRPr="00F64679">
              <w:t xml:space="preserve"> a designer and constructor of the network infrastructure design </w:t>
            </w:r>
          </w:p>
          <w:p w:rsidR="00000000" w:rsidRPr="00F64679" w:rsidP="00F64679">
            <w:pPr>
              <w:pStyle w:val="BodyText"/>
            </w:pPr>
            <w:r w:rsidRPr="00F64679">
              <w:t xml:space="preserve">3.2 Initiate studies and information gathering activities to develop a design which is compliant to the requirements </w:t>
            </w:r>
          </w:p>
          <w:p w:rsidR="00000000" w:rsidRPr="00F64679" w:rsidP="00F64679">
            <w:pPr>
              <w:pStyle w:val="BodyText"/>
            </w:pPr>
            <w:r w:rsidRPr="00F64679">
              <w:t>3.3 Produce a report of work activities incorporating enterprise-specifi</w:t>
            </w:r>
            <w:r w:rsidRPr="00F64679">
              <w:t xml:space="preserve">c policies and procedures underpinned by regulatory and compliance obligations </w:t>
            </w:r>
          </w:p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 xml:space="preserve">3.4 Compare the newly developed solutions to meet regulatory environments with financial plans to meet budgetary requirements for the design project </w:t>
            </w:r>
          </w:p>
        </w:tc>
      </w:tr>
      <w:tr w:rsidTr="00F64679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4. Complete legally bindi</w:t>
            </w:r>
            <w:r w:rsidRPr="00F64679">
              <w:t>ng agreements and document all procedures</w:t>
            </w:r>
          </w:p>
        </w:tc>
        <w:tc>
          <w:tcPr>
            <w:tcW w:w="695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t xml:space="preserve">4.1 Gather all reports and studies to support the design and construction activities and incorporate with final design </w:t>
            </w:r>
          </w:p>
          <w:p w:rsidR="00000000" w:rsidRPr="00F64679" w:rsidP="00F64679">
            <w:pPr>
              <w:pStyle w:val="BodyText"/>
            </w:pPr>
            <w:r w:rsidRPr="00F64679">
              <w:t>4.2 Diarise all activities for evidence of compliance with requirements in case of future acti</w:t>
            </w:r>
            <w:r w:rsidRPr="00F64679">
              <w:t xml:space="preserve">ons </w:t>
            </w:r>
          </w:p>
          <w:p w:rsidR="00000000" w:rsidRPr="00F64679" w:rsidP="00F64679">
            <w:pPr>
              <w:pStyle w:val="BodyText"/>
            </w:pPr>
            <w:r w:rsidRPr="00F64679">
              <w:t>4.3 Ask relevant parties to sign legally binding documentation to fulfil obligations to access land or premises as required</w:t>
            </w:r>
          </w:p>
          <w:p w:rsidR="00000000" w:rsidRPr="00F64679" w:rsidP="00F64679">
            <w:pPr>
              <w:pStyle w:val="BodyText"/>
            </w:pPr>
            <w:r w:rsidRPr="00F64679">
              <w:t>4.4 Examine what alternative courses of action are available in case of dispute prior to or after an agreement is signed by all</w:t>
            </w:r>
            <w:r w:rsidRPr="00F64679">
              <w:t xml:space="preserve"> parties</w:t>
            </w:r>
          </w:p>
        </w:tc>
      </w:tr>
    </w:tbl>
    <w:p w:rsidR="00000000" w:rsidRPr="00F64679" w:rsidP="00F64679">
      <w:pPr>
        <w:pStyle w:val="BodyText"/>
      </w:pPr>
    </w:p>
    <w:p w:rsidR="00000000" w:rsidRPr="00F64679" w:rsidP="00F64679">
      <w:pPr>
        <w:pStyle w:val="AllowPageBreak"/>
      </w:pPr>
    </w:p>
    <w:p w:rsidR="00000000" w:rsidRPr="00F64679" w:rsidP="00F64679">
      <w:pPr>
        <w:pStyle w:val="Heading1"/>
      </w:pPr>
      <w:bookmarkStart w:id="5" w:name="O_758674"/>
      <w:bookmarkEnd w:id="5"/>
      <w:r w:rsidRPr="00F64679">
        <w:t>Foundation Skills</w:t>
      </w:r>
    </w:p>
    <w:p w:rsidR="00000000" w:rsidRPr="00221E6F" w:rsidP="00221E6F">
      <w:pPr>
        <w:pStyle w:val="BodyText"/>
        <w:rPr>
          <w:i/>
        </w:rPr>
      </w:pPr>
      <w:r w:rsidRPr="00221E6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969"/>
        <w:gridCol w:w="4342"/>
      </w:tblGrid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Skill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Performance</w:t>
            </w:r>
          </w:p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Criteria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rPr>
                <w:rStyle w:val="SpecialBold"/>
              </w:rPr>
              <w:t>Description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Reading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1.1-1.5, 2.1, 2.3, 3.2, 4.1, 4.4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ListBullet"/>
              <w:rPr>
                <w:lang w:val="en-NZ"/>
              </w:rPr>
            </w:pPr>
            <w:r w:rsidRPr="00F64679">
              <w:t>Selects, synthesises and critically evaluates complex and often technically complex texts, and integrates prior knowledge to improve understanding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Writing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1.1, 3.2, 3.3, 4.1, 4.2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ListBullet"/>
              <w:rPr>
                <w:lang w:val="en-NZ"/>
              </w:rPr>
            </w:pPr>
            <w:r w:rsidRPr="00F64679">
              <w:t>Integrates information and ideas from a r</w:t>
            </w:r>
            <w:r w:rsidRPr="00F64679">
              <w:t>ange of sources, and documents these in a form appropriate to audience and context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Oral Communication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3.1, 3.2, 4.3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ListBullet"/>
              <w:rPr>
                <w:lang w:val="en-NZ"/>
              </w:rPr>
            </w:pPr>
            <w:r w:rsidRPr="00F64679">
              <w:t xml:space="preserve">Articulates clearly using specific and relevant language suitable to audience to </w:t>
            </w:r>
            <w:r w:rsidRPr="00F64679">
              <w:t>convey requirements and listening and questioning techniques to confirm understanding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Numeracy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1.1, 1.3, 1.4, 3.1, 3.2, 3.4, 4.1, 4.2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ListBullet"/>
              <w:rPr>
                <w:lang w:val="en-NZ"/>
              </w:rPr>
            </w:pPr>
            <w:r w:rsidRPr="00F64679">
              <w:t>Collects, organises, interprets and communicates mathematical concepts embedded in data and information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Navigate the wo</w:t>
            </w:r>
            <w:r w:rsidRPr="00F64679">
              <w:t>rld of work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 xml:space="preserve">1.1-1.5, 2.1, 2.3, 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ListBullet"/>
            </w:pPr>
            <w:r w:rsidRPr="00F64679">
              <w:t>Recognises and responds appropriately within a complex regulatory environment and identifies issues that may have legal implications</w:t>
            </w:r>
          </w:p>
          <w:p w:rsidR="00000000" w:rsidP="00F64679">
            <w:pPr>
              <w:pStyle w:val="ListBullet"/>
              <w:rPr>
                <w:lang w:val="en-NZ"/>
              </w:rPr>
            </w:pPr>
            <w:r w:rsidRPr="00F64679">
              <w:t>Independently accesses a range of resources to acquire knowledge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Interact with others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2.2</w:t>
            </w:r>
            <w:r w:rsidRPr="00F64679">
              <w:t>, 3.1, 4.3, 4.4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ListBullet"/>
            </w:pPr>
            <w:r w:rsidRPr="00F64679">
              <w:t>Actively seeks a range of perspectives as part of work role</w:t>
            </w:r>
          </w:p>
          <w:p w:rsidR="00000000" w:rsidP="00F64679">
            <w:pPr>
              <w:pStyle w:val="ListBullet"/>
              <w:rPr>
                <w:lang w:val="en-NZ"/>
              </w:rPr>
            </w:pPr>
            <w:r w:rsidRPr="00F64679">
              <w:t>Anticipates possible sources of conflict, develops conflict resolution strategies and reflects on effectiveness of dispute resolution processes and actions.</w:t>
            </w:r>
          </w:p>
        </w:tc>
      </w:tr>
      <w:tr w:rsidTr="00F646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Get the work done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1.1-1.5, 2.1-2.4, 3.1-3.4, 4.1-4.4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ListBullet"/>
            </w:pPr>
            <w:r w:rsidRPr="00F64679">
              <w:t xml:space="preserve">Researches, plans, and manages complex tasks taking into account current and new technology, facilities and features when developing options </w:t>
            </w:r>
          </w:p>
          <w:p w:rsidR="00000000" w:rsidRPr="00F64679" w:rsidP="00F64679">
            <w:pPr>
              <w:pStyle w:val="ListBullet"/>
            </w:pPr>
            <w:r w:rsidRPr="00F64679">
              <w:t>Analyses the impact of financial, regulatory, policy, procedures and other fac</w:t>
            </w:r>
            <w:r w:rsidRPr="00F64679">
              <w:t>tors in planning, and utilises sophisticated problem-solving skills to assess conditions</w:t>
            </w:r>
          </w:p>
        </w:tc>
      </w:tr>
    </w:tbl>
    <w:p w:rsidR="00000000" w:rsidRPr="00F64679" w:rsidP="00F64679">
      <w:pPr>
        <w:pStyle w:val="BodyText"/>
      </w:pPr>
    </w:p>
    <w:p w:rsidR="00000000" w:rsidRPr="00F64679" w:rsidP="00F64679">
      <w:pPr>
        <w:pStyle w:val="AllowPageBreak"/>
      </w:pPr>
    </w:p>
    <w:p w:rsidR="00000000" w:rsidRPr="00F64679" w:rsidP="00F64679">
      <w:pPr>
        <w:pStyle w:val="Heading1"/>
      </w:pPr>
      <w:bookmarkStart w:id="6" w:name="O_758676"/>
      <w:bookmarkEnd w:id="6"/>
      <w:r w:rsidRPr="00F646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64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 xml:space="preserve">Code and title </w:t>
            </w:r>
          </w:p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Code and title</w:t>
            </w:r>
          </w:p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rPr>
                <w:rStyle w:val="SpecialBold"/>
              </w:rPr>
              <w:t>Equivalence status</w:t>
            </w:r>
          </w:p>
        </w:tc>
      </w:tr>
      <w:tr w:rsidTr="00F646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ICTNPL411 Apply compliance requirements to telecommunications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ICTNPL4247A Apply compliance requirements to telecommunications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679">
            <w:pPr>
              <w:pStyle w:val="BodyText"/>
              <w:rPr>
                <w:lang w:val="en-NZ"/>
              </w:rPr>
            </w:pPr>
            <w:r w:rsidRPr="00F64679">
              <w:t>Updated to meet standards for Training Package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679" w:rsidP="00F64679">
            <w:pPr>
              <w:pStyle w:val="BodyText"/>
            </w:pPr>
            <w:r w:rsidRPr="00F64679">
              <w:t>Equivalent unit</w:t>
            </w:r>
          </w:p>
        </w:tc>
      </w:tr>
    </w:tbl>
    <w:p w:rsidR="00000000" w:rsidRPr="00F64679" w:rsidP="00F64679">
      <w:pPr>
        <w:pStyle w:val="BodyText"/>
      </w:pPr>
    </w:p>
    <w:p w:rsidR="00000000" w:rsidRPr="00F64679" w:rsidP="00F64679">
      <w:pPr>
        <w:pStyle w:val="AllowPageBreak"/>
      </w:pPr>
    </w:p>
    <w:p w:rsidR="00000000" w:rsidRPr="00F64679" w:rsidP="00F64679">
      <w:pPr>
        <w:pStyle w:val="Heading1"/>
      </w:pPr>
      <w:bookmarkStart w:id="7" w:name="O_758683"/>
      <w:bookmarkEnd w:id="7"/>
      <w:r w:rsidRPr="00F64679">
        <w:t>Links</w:t>
      </w:r>
    </w:p>
    <w:p w:rsidR="00000000" w:rsidRPr="00F64679" w:rsidP="00221E6F">
      <w:pPr>
        <w:pStyle w:val="BodyText"/>
      </w:pPr>
      <w:r w:rsidRPr="00F64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0E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4679" w:rsidP="00F64679"/>
    <w:sectPr w:rsidSect="00F646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79" w:rsidRPr="00221E6F" w:rsidP="00221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6F" w:rsidP="00F64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E6F" w:rsidP="00F64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E6F" w:rsidP="00F64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679" w:rsidRPr="00221E6F" w:rsidP="00221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6F" w:rsidRPr="002D2AF8" w:rsidP="00F64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ICTNPL411 Apply compliance requirements to telecommunications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221E6F" w:rsidP="00F64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B8F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14F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679"/>
  </w:style>
  <w:style w:type="character" w:customStyle="1" w:styleId="Heading1Char">
    <w:name w:val="Heading 1 Char"/>
    <w:basedOn w:val="DefaultParagraphFont"/>
    <w:link w:val="Heading1"/>
    <w:rsid w:val="00F64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6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6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679"/>
    <w:rPr>
      <w:b/>
      <w:spacing w:val="0"/>
    </w:rPr>
  </w:style>
  <w:style w:type="character" w:styleId="Emphasis">
    <w:name w:val="Emphasis"/>
    <w:basedOn w:val="DefaultParagraphFont"/>
    <w:qFormat/>
    <w:rsid w:val="00F64679"/>
    <w:rPr>
      <w:i/>
    </w:rPr>
  </w:style>
  <w:style w:type="paragraph" w:customStyle="1" w:styleId="SuperHeading">
    <w:name w:val="SuperHeading"/>
    <w:basedOn w:val="Normal"/>
    <w:rsid w:val="00F64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6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6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6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679"/>
  </w:style>
  <w:style w:type="paragraph" w:styleId="TableofFigures">
    <w:name w:val="table of figures"/>
    <w:basedOn w:val="Normal"/>
    <w:next w:val="Normal"/>
    <w:semiHidden/>
    <w:rsid w:val="00F64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6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679"/>
    <w:rPr>
      <w:rFonts w:ascii="Wingdings" w:hAnsi="Wingdings"/>
    </w:rPr>
  </w:style>
  <w:style w:type="paragraph" w:customStyle="1" w:styleId="TableHeading">
    <w:name w:val="Table Heading"/>
    <w:basedOn w:val="HeadingBase"/>
    <w:rsid w:val="00F64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679"/>
    <w:rPr>
      <w:color w:val="0033CC"/>
      <w:u w:val="none"/>
    </w:rPr>
  </w:style>
  <w:style w:type="paragraph" w:customStyle="1" w:styleId="BodyTextRight">
    <w:name w:val="Body Text Right"/>
    <w:basedOn w:val="BodyText"/>
    <w:rsid w:val="00F64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6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679"/>
    <w:rPr>
      <w:sz w:val="32"/>
    </w:rPr>
  </w:style>
  <w:style w:type="paragraph" w:customStyle="1" w:styleId="HeadingProcedure">
    <w:name w:val="Heading Procedure"/>
    <w:basedOn w:val="HeadingBase"/>
    <w:next w:val="Normal"/>
    <w:rsid w:val="00F64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679"/>
    <w:pPr>
      <w:spacing w:before="60" w:after="60"/>
    </w:pPr>
  </w:style>
  <w:style w:type="paragraph" w:styleId="ListContinue">
    <w:name w:val="List Continue"/>
    <w:basedOn w:val="List"/>
    <w:rsid w:val="00F64679"/>
    <w:pPr>
      <w:ind w:firstLine="0"/>
    </w:pPr>
  </w:style>
  <w:style w:type="paragraph" w:customStyle="1" w:styleId="ListNote">
    <w:name w:val="List Note"/>
    <w:basedOn w:val="List"/>
    <w:rsid w:val="00F64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679"/>
    <w:rPr>
      <w:rFonts w:ascii="Courier New" w:hAnsi="Courier New"/>
    </w:rPr>
  </w:style>
  <w:style w:type="paragraph" w:customStyle="1" w:styleId="NoteBullet">
    <w:name w:val="Note Bullet"/>
    <w:basedOn w:val="Note"/>
    <w:rsid w:val="00F64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6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679"/>
    <w:rPr>
      <w:b/>
      <w:smallCaps/>
    </w:rPr>
  </w:style>
  <w:style w:type="paragraph" w:customStyle="1" w:styleId="TableListNumber">
    <w:name w:val="Table List Number"/>
    <w:basedOn w:val="ListNumber"/>
    <w:rsid w:val="00F64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679"/>
    <w:pPr>
      <w:numPr>
        <w:numId w:val="8"/>
      </w:numPr>
    </w:pPr>
  </w:style>
  <w:style w:type="paragraph" w:customStyle="1" w:styleId="ListAlpha2">
    <w:name w:val="List Alpha 2"/>
    <w:basedOn w:val="List2"/>
    <w:rsid w:val="00F64679"/>
    <w:pPr>
      <w:numPr>
        <w:numId w:val="7"/>
      </w:numPr>
    </w:pPr>
  </w:style>
  <w:style w:type="paragraph" w:styleId="List2">
    <w:name w:val="List 2"/>
    <w:basedOn w:val="BodyText"/>
    <w:rsid w:val="00F64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6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6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679"/>
    <w:pPr>
      <w:numPr>
        <w:numId w:val="3"/>
      </w:numPr>
    </w:pPr>
  </w:style>
  <w:style w:type="paragraph" w:styleId="ListContinue2">
    <w:name w:val="List Continue 2"/>
    <w:basedOn w:val="List2"/>
    <w:rsid w:val="00F64679"/>
    <w:pPr>
      <w:ind w:firstLine="0"/>
    </w:pPr>
  </w:style>
  <w:style w:type="paragraph" w:styleId="ListContinue3">
    <w:name w:val="List Continue 3"/>
    <w:basedOn w:val="List3"/>
    <w:rsid w:val="00F64679"/>
    <w:pPr>
      <w:ind w:left="1021" w:firstLine="0"/>
    </w:pPr>
  </w:style>
  <w:style w:type="paragraph" w:styleId="ListContinue4">
    <w:name w:val="List Continue 4"/>
    <w:basedOn w:val="List4"/>
    <w:rsid w:val="00F64679"/>
    <w:pPr>
      <w:ind w:firstLine="0"/>
    </w:pPr>
  </w:style>
  <w:style w:type="paragraph" w:styleId="ListContinue5">
    <w:name w:val="List Continue 5"/>
    <w:basedOn w:val="List5"/>
    <w:rsid w:val="00F64679"/>
    <w:pPr>
      <w:ind w:firstLine="0"/>
    </w:pPr>
  </w:style>
  <w:style w:type="paragraph" w:styleId="ListNumber3">
    <w:name w:val="List Number 3"/>
    <w:basedOn w:val="List3"/>
    <w:rsid w:val="00F64679"/>
    <w:pPr>
      <w:numPr>
        <w:numId w:val="4"/>
      </w:numPr>
    </w:pPr>
  </w:style>
  <w:style w:type="paragraph" w:styleId="ListNumber4">
    <w:name w:val="List Number 4"/>
    <w:basedOn w:val="List4"/>
    <w:rsid w:val="00F64679"/>
    <w:pPr>
      <w:numPr>
        <w:numId w:val="5"/>
      </w:numPr>
    </w:pPr>
  </w:style>
  <w:style w:type="paragraph" w:styleId="ListNumber5">
    <w:name w:val="List Number 5"/>
    <w:basedOn w:val="List5"/>
    <w:rsid w:val="00F64679"/>
    <w:pPr>
      <w:numPr>
        <w:numId w:val="6"/>
      </w:numPr>
    </w:pPr>
  </w:style>
  <w:style w:type="paragraph" w:styleId="BlockText">
    <w:name w:val="Block Text"/>
    <w:basedOn w:val="Normal"/>
    <w:rsid w:val="00F64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679"/>
    <w:rPr>
      <w:sz w:val="16"/>
      <w:vertAlign w:val="superscript"/>
    </w:rPr>
  </w:style>
  <w:style w:type="character" w:customStyle="1" w:styleId="Symbols">
    <w:name w:val="Symbols"/>
    <w:basedOn w:val="DefaultParagraphFont"/>
    <w:rsid w:val="00F64679"/>
    <w:rPr>
      <w:rFonts w:ascii="Symbol" w:hAnsi="Symbol"/>
    </w:rPr>
  </w:style>
  <w:style w:type="character" w:customStyle="1" w:styleId="MenuOptions">
    <w:name w:val="Menu Options"/>
    <w:basedOn w:val="DefaultParagraphFont"/>
    <w:rsid w:val="00F64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679"/>
    <w:rPr>
      <w:b/>
    </w:rPr>
  </w:style>
  <w:style w:type="character" w:customStyle="1" w:styleId="Underlined">
    <w:name w:val="Underlined"/>
    <w:basedOn w:val="DefaultParagraphFont"/>
    <w:rsid w:val="00F64679"/>
    <w:rPr>
      <w:u w:val="single"/>
    </w:rPr>
  </w:style>
  <w:style w:type="paragraph" w:customStyle="1" w:styleId="TableBodyTextRight">
    <w:name w:val="Table Body Text Right"/>
    <w:basedOn w:val="TableBodyText"/>
    <w:rsid w:val="00F64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679"/>
    <w:rPr>
      <w:sz w:val="18"/>
    </w:rPr>
  </w:style>
  <w:style w:type="paragraph" w:customStyle="1" w:styleId="BodySmallRight">
    <w:name w:val="Body Small Right"/>
    <w:basedOn w:val="BodyTextRight"/>
    <w:rsid w:val="00F64679"/>
    <w:rPr>
      <w:sz w:val="18"/>
      <w:szCs w:val="18"/>
    </w:rPr>
  </w:style>
  <w:style w:type="paragraph" w:customStyle="1" w:styleId="MarginEdition">
    <w:name w:val="Margin Edition"/>
    <w:basedOn w:val="MarginNote"/>
    <w:rsid w:val="00F64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679"/>
    <w:rPr>
      <w:sz w:val="2"/>
      <w:szCs w:val="2"/>
    </w:rPr>
  </w:style>
  <w:style w:type="character" w:customStyle="1" w:styleId="Small">
    <w:name w:val="Small"/>
    <w:basedOn w:val="DefaultParagraphFont"/>
    <w:rsid w:val="00F64679"/>
    <w:rPr>
      <w:sz w:val="16"/>
    </w:rPr>
  </w:style>
  <w:style w:type="paragraph" w:customStyle="1" w:styleId="WideTable">
    <w:name w:val="Wide Table"/>
    <w:basedOn w:val="Normal"/>
    <w:rsid w:val="00F64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679"/>
  </w:style>
  <w:style w:type="paragraph" w:styleId="Quote">
    <w:name w:val="Quote"/>
    <w:basedOn w:val="Heading1"/>
    <w:link w:val="QuoteChar"/>
    <w:qFormat/>
    <w:rsid w:val="00F64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679"/>
    <w:pPr>
      <w:pageBreakBefore/>
    </w:pPr>
  </w:style>
  <w:style w:type="paragraph" w:customStyle="1" w:styleId="Border">
    <w:name w:val="Border"/>
    <w:basedOn w:val="Normal"/>
    <w:qFormat/>
    <w:rsid w:val="00F64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679"/>
    <w:rPr>
      <w:u w:val="single"/>
    </w:rPr>
  </w:style>
  <w:style w:type="character" w:customStyle="1" w:styleId="BoldandItalics">
    <w:name w:val="Bold and Italics"/>
    <w:qFormat/>
    <w:rsid w:val="00F64679"/>
    <w:rPr>
      <w:b/>
      <w:i/>
      <w:u w:val="none"/>
    </w:rPr>
  </w:style>
  <w:style w:type="paragraph" w:styleId="BalloonText">
    <w:name w:val="Balloon Text"/>
    <w:basedOn w:val="Normal"/>
    <w:link w:val="BalloonTextChar"/>
    <w:rsid w:val="00F64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679"/>
    <w:pPr>
      <w:spacing w:before="0" w:after="0"/>
    </w:pPr>
  </w:style>
  <w:style w:type="paragraph" w:customStyle="1" w:styleId="BodyTextBold">
    <w:name w:val="Body Text Bold"/>
    <w:basedOn w:val="BodyText"/>
    <w:qFormat/>
    <w:rsid w:val="00F64679"/>
    <w:rPr>
      <w:b/>
    </w:rPr>
  </w:style>
  <w:style w:type="character" w:styleId="Hyperlink">
    <w:name w:val="Hyperlink"/>
    <w:basedOn w:val="DefaultParagraphFont"/>
    <w:uiPriority w:val="99"/>
    <w:unhideWhenUsed/>
    <w:rsid w:val="00221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5380</Characters>
  <Application>Microsoft Office Word</Application>
  <DocSecurity>0</DocSecurity>
  <Lines>192</Lines>
  <Paragraphs>98</Paragraphs>
  <ScaleCrop>false</ScaleCrop>
  <Company>Author-it Software Corporation Ltd.</Company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ICTNPL411 Apply compliance requirements to telecommunications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2021-01-19T01:17:00Z</dcterms:created>
  <dcterms:modified xsi:type="dcterms:W3CDTF">2021-01-19T01:17:00Z</dcterms:modified>
</cp:coreProperties>
</file>