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151" w:rsidP="009D5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ICTNPL411 Apply compliance requirements to telecommunications work</w:t>
      </w:r>
      <w:r>
        <w:fldChar w:fldCharType="end"/>
      </w:r>
    </w:p>
    <w:p w:rsidR="009D5151" w:rsidP="009D5151">
      <w:pPr>
        <w:pStyle w:val="Version"/>
        <w:sectPr w:rsidSect="00B669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9AC" w:rsidP="00B669AC">
      <w:pPr>
        <w:pStyle w:val="SuperHeading"/>
      </w:pPr>
      <w:r w:rsidRPr="00B669AC">
        <w:t>Assessment Requirements for ICTNPL411 Apply compliance requirements to telecommunications work</w:t>
      </w:r>
    </w:p>
    <w:p w:rsidR="00000000" w:rsidRPr="00B669AC" w:rsidP="00B669AC">
      <w:pPr>
        <w:pStyle w:val="Heading1"/>
      </w:pPr>
      <w:bookmarkStart w:id="1" w:name="O_758678"/>
      <w:bookmarkEnd w:id="1"/>
      <w:r w:rsidRPr="00B669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B66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9AC" w:rsidP="00B669AC">
            <w:pPr>
              <w:pStyle w:val="BodyText"/>
            </w:pPr>
            <w:r w:rsidRPr="00B669AC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9AC">
            <w:pPr>
              <w:pStyle w:val="BodyText"/>
              <w:rPr>
                <w:lang w:val="en-NZ"/>
              </w:rPr>
            </w:pPr>
            <w:r w:rsidRPr="00B669AC">
              <w:rPr>
                <w:rStyle w:val="SpecialBold"/>
              </w:rPr>
              <w:t>Comments</w:t>
            </w:r>
          </w:p>
        </w:tc>
      </w:tr>
      <w:tr w:rsidTr="00B669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9AC">
            <w:pPr>
              <w:pStyle w:val="BodyText"/>
              <w:rPr>
                <w:lang w:val="en-NZ"/>
              </w:rPr>
            </w:pPr>
            <w:r w:rsidRPr="00B669AC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9AC" w:rsidP="00B669AC">
            <w:pPr>
              <w:pStyle w:val="BodyText"/>
            </w:pPr>
            <w:r w:rsidRPr="00B669AC">
              <w:t>This version first released with ICT Information and Communications Technology Training Package Version 2.0.</w:t>
            </w:r>
          </w:p>
        </w:tc>
      </w:tr>
    </w:tbl>
    <w:p w:rsidR="00000000" w:rsidRPr="00B669AC" w:rsidP="00B669AC">
      <w:pPr>
        <w:pStyle w:val="BodyText"/>
      </w:pPr>
    </w:p>
    <w:p w:rsidR="00000000" w:rsidRPr="00B669AC" w:rsidP="00B669AC">
      <w:pPr>
        <w:pStyle w:val="AllowPageBreak"/>
      </w:pPr>
    </w:p>
    <w:p w:rsidR="00000000" w:rsidRPr="00B669AC" w:rsidP="00B669AC">
      <w:pPr>
        <w:pStyle w:val="Heading1"/>
      </w:pPr>
      <w:bookmarkStart w:id="2" w:name="O_758679"/>
      <w:bookmarkEnd w:id="2"/>
      <w:r w:rsidRPr="00B669AC">
        <w:t>Performance Evidence</w:t>
      </w:r>
    </w:p>
    <w:p w:rsidR="00000000" w:rsidRPr="00B669AC" w:rsidP="009D5151">
      <w:pPr>
        <w:pStyle w:val="BodyText"/>
      </w:pPr>
      <w:r w:rsidRPr="00B669AC">
        <w:t>Evidence of ability to:</w:t>
      </w:r>
    </w:p>
    <w:p w:rsidR="00000000" w:rsidRPr="00B669AC" w:rsidP="00B669AC">
      <w:pPr>
        <w:pStyle w:val="ListBullet"/>
      </w:pPr>
      <w:r w:rsidRPr="00B669AC">
        <w:t>produce a detailed report from a design, identifying acts and codes of practice fo</w:t>
      </w:r>
      <w:r w:rsidRPr="00B669AC">
        <w:t>r each aspect of a project</w:t>
      </w:r>
    </w:p>
    <w:p w:rsidR="00000000" w:rsidRPr="00B669AC" w:rsidP="00B669AC">
      <w:pPr>
        <w:pStyle w:val="ListBullet"/>
      </w:pPr>
      <w:r w:rsidRPr="00B669AC">
        <w:t>produce a report detailing common construction practices to mitigate the environmental impact of the project</w:t>
      </w:r>
    </w:p>
    <w:p w:rsidR="00000000" w:rsidRPr="00B669AC" w:rsidP="00B669AC">
      <w:pPr>
        <w:pStyle w:val="ListBullet"/>
      </w:pPr>
      <w:r w:rsidRPr="00B669AC">
        <w:t>produce a summary report detailing a designer’s and constructor’</w:t>
      </w:r>
      <w:r w:rsidRPr="00B669AC">
        <w:t>s obligations regarding land access under the telecommunications act and code of practice.</w:t>
      </w:r>
    </w:p>
    <w:p w:rsidR="00000000" w:rsidRPr="00B669AC" w:rsidP="00B669AC">
      <w:pPr>
        <w:pStyle w:val="BodyText"/>
      </w:pPr>
    </w:p>
    <w:p w:rsidR="00000000" w:rsidRPr="00B669AC" w:rsidP="009D5151">
      <w:pPr>
        <w:pStyle w:val="BodyText"/>
      </w:pPr>
      <w:r w:rsidRPr="00B669AC">
        <w:t>Note: If a specific volume or frequency is not stated, then evidence must be provided at least once.</w:t>
      </w:r>
    </w:p>
    <w:p w:rsidR="00000000" w:rsidRPr="00B669AC" w:rsidP="00B669AC">
      <w:pPr>
        <w:pStyle w:val="Heading1"/>
      </w:pPr>
      <w:bookmarkStart w:id="3" w:name="O_758680"/>
      <w:bookmarkEnd w:id="3"/>
      <w:r w:rsidRPr="00B669AC">
        <w:t>Knowledge Evidence</w:t>
      </w:r>
    </w:p>
    <w:p w:rsidR="00000000" w:rsidRPr="00B669AC" w:rsidP="009D5151">
      <w:pPr>
        <w:pStyle w:val="BodyText"/>
      </w:pPr>
      <w:r w:rsidRPr="00B669AC">
        <w:t>To complete the unit requir</w:t>
      </w:r>
      <w:r w:rsidRPr="00B669AC">
        <w:t>ements safely and effectively, the individual must:</w:t>
      </w:r>
    </w:p>
    <w:p w:rsidR="00000000" w:rsidRPr="00B669AC" w:rsidP="00B669AC">
      <w:pPr>
        <w:pStyle w:val="ListBullet"/>
      </w:pPr>
      <w:r w:rsidRPr="00B669AC">
        <w:t>summarise regulations, standards, legislation and codes of practice relevant to the telecommunications industry</w:t>
      </w:r>
    </w:p>
    <w:p w:rsidR="00000000" w:rsidRPr="00B669AC" w:rsidP="00B669AC">
      <w:pPr>
        <w:pStyle w:val="ListBullet"/>
      </w:pPr>
      <w:r w:rsidRPr="00B669AC">
        <w:t>describe the impact of the following on telecommunications systems and installations:</w:t>
      </w:r>
    </w:p>
    <w:p w:rsidR="00000000" w:rsidRPr="00B669AC" w:rsidP="00B669AC">
      <w:pPr>
        <w:pStyle w:val="ListBullet2"/>
      </w:pPr>
      <w:r w:rsidRPr="00B669AC">
        <w:t>Envi</w:t>
      </w:r>
      <w:r w:rsidRPr="00B669AC">
        <w:t>ronmental Protection Authority and legislation</w:t>
      </w:r>
    </w:p>
    <w:p w:rsidR="00000000" w:rsidRPr="00B669AC" w:rsidP="00B669AC">
      <w:pPr>
        <w:pStyle w:val="ListBullet2"/>
      </w:pPr>
      <w:r w:rsidRPr="00B669AC">
        <w:t>waterways and their responsibilities</w:t>
      </w:r>
    </w:p>
    <w:p w:rsidR="00000000" w:rsidRPr="00B669AC" w:rsidP="00B669AC">
      <w:pPr>
        <w:pStyle w:val="ListBullet2"/>
      </w:pPr>
      <w:r w:rsidRPr="00B669AC">
        <w:t xml:space="preserve">national, state and council regulations </w:t>
      </w:r>
    </w:p>
    <w:p w:rsidR="00000000" w:rsidRPr="00B669AC" w:rsidP="00B669AC">
      <w:pPr>
        <w:pStyle w:val="ListBullet2"/>
      </w:pPr>
      <w:r w:rsidRPr="00B669AC">
        <w:t>National Parks and Wildlife acts</w:t>
      </w:r>
    </w:p>
    <w:p w:rsidR="00000000" w:rsidRPr="00B669AC" w:rsidP="00B669AC">
      <w:pPr>
        <w:pStyle w:val="ListBullet2"/>
      </w:pPr>
      <w:r w:rsidRPr="00B669AC">
        <w:t>ports authority</w:t>
      </w:r>
    </w:p>
    <w:p w:rsidR="00000000" w:rsidRPr="00B669AC" w:rsidP="00B669AC">
      <w:pPr>
        <w:pStyle w:val="ListBullet2"/>
      </w:pPr>
      <w:r w:rsidRPr="00B669AC">
        <w:t>rail authority and their requirements</w:t>
      </w:r>
    </w:p>
    <w:p w:rsidR="00000000" w:rsidRPr="00B669AC" w:rsidP="00B669AC">
      <w:pPr>
        <w:pStyle w:val="ListBullet2"/>
      </w:pPr>
      <w:r w:rsidRPr="00B669AC">
        <w:t>power distribution authority and require</w:t>
      </w:r>
      <w:r w:rsidRPr="00B669AC">
        <w:t>ments</w:t>
      </w:r>
    </w:p>
    <w:p w:rsidR="00000000" w:rsidRPr="00B669AC" w:rsidP="00B669AC">
      <w:pPr>
        <w:pStyle w:val="ListBullet2"/>
      </w:pPr>
      <w:r w:rsidRPr="00B669AC">
        <w:t xml:space="preserve">roads authority </w:t>
      </w:r>
    </w:p>
    <w:p w:rsidR="00000000" w:rsidRPr="00B669AC" w:rsidP="00B669AC">
      <w:pPr>
        <w:pStyle w:val="ListBullet2"/>
      </w:pPr>
      <w:r w:rsidRPr="00B669AC">
        <w:t>footpath allocations</w:t>
      </w:r>
    </w:p>
    <w:p w:rsidR="00000000" w:rsidRPr="00B669AC" w:rsidP="00B669AC">
      <w:pPr>
        <w:pStyle w:val="ListBullet"/>
      </w:pPr>
      <w:r w:rsidRPr="00B669AC">
        <w:t>describe technical compliance requirements for the following:</w:t>
      </w:r>
    </w:p>
    <w:p w:rsidR="00000000" w:rsidRPr="00B669AC" w:rsidP="00B669AC">
      <w:pPr>
        <w:pStyle w:val="ListBullet2"/>
      </w:pPr>
      <w:r w:rsidRPr="00B669AC">
        <w:t>separations and depth of cover</w:t>
      </w:r>
    </w:p>
    <w:p w:rsidR="00000000" w:rsidRPr="00B669AC" w:rsidP="00B669AC">
      <w:pPr>
        <w:pStyle w:val="ListBullet2"/>
      </w:pPr>
      <w:r w:rsidRPr="00B669AC">
        <w:t>earth potential rise (EPR)</w:t>
      </w:r>
    </w:p>
    <w:p w:rsidR="00000000" w:rsidRPr="00B669AC" w:rsidP="00B669AC">
      <w:pPr>
        <w:pStyle w:val="ListBullet2"/>
      </w:pPr>
      <w:r w:rsidRPr="00B669AC">
        <w:t xml:space="preserve">low frequency induction (LFI) </w:t>
      </w:r>
    </w:p>
    <w:p w:rsidR="00000000" w:rsidRPr="00B669AC" w:rsidP="00B669AC">
      <w:pPr>
        <w:pStyle w:val="ListBullet"/>
      </w:pPr>
      <w:r w:rsidRPr="00B669AC">
        <w:t>describe the framework for the telecommunications industry</w:t>
      </w:r>
      <w:r w:rsidRPr="00B669AC">
        <w:t xml:space="preserve"> including its various networks</w:t>
      </w:r>
    </w:p>
    <w:p w:rsidR="00000000" w:rsidRPr="00B669AC" w:rsidP="00B669AC">
      <w:pPr>
        <w:pStyle w:val="AllowPageBreak"/>
      </w:pPr>
    </w:p>
    <w:p w:rsidR="00000000" w:rsidRPr="00B669AC" w:rsidP="00B669AC">
      <w:pPr>
        <w:pStyle w:val="Heading1"/>
      </w:pPr>
      <w:bookmarkStart w:id="4" w:name="O_758681"/>
      <w:bookmarkEnd w:id="4"/>
      <w:r w:rsidRPr="00B669AC">
        <w:t>Assessment Conditions</w:t>
      </w:r>
    </w:p>
    <w:p w:rsidR="00000000" w:rsidRPr="00B669AC" w:rsidP="009D5151">
      <w:pPr>
        <w:pStyle w:val="BodyText"/>
      </w:pPr>
      <w:r w:rsidRPr="00B669AC">
        <w:t>Gather evidence to demonstrate consistent performance in conditions that are safe and replicate the workplace. Noise levels, production flow, interruptions and time variances must be ty</w:t>
      </w:r>
      <w:r w:rsidRPr="00B669AC">
        <w:t>pical of those experienced in the Telecommunications – Network Planning field of work and include access to:</w:t>
      </w:r>
    </w:p>
    <w:p w:rsidR="00000000" w:rsidRPr="00B669AC" w:rsidP="00B669AC">
      <w:pPr>
        <w:pStyle w:val="ListBullet"/>
      </w:pPr>
      <w:r w:rsidRPr="00B669AC">
        <w:t>relevant legislation</w:t>
      </w:r>
    </w:p>
    <w:p w:rsidR="00000000" w:rsidRPr="00B669AC" w:rsidP="00B669AC">
      <w:pPr>
        <w:pStyle w:val="ListBullet"/>
      </w:pPr>
      <w:r w:rsidRPr="00B669AC">
        <w:t>planning processes and telecommunications industry Regulatory Accounting Framework (RAF)</w:t>
      </w:r>
    </w:p>
    <w:p w:rsidR="00000000" w:rsidRPr="00B669AC" w:rsidP="00B669AC">
      <w:pPr>
        <w:pStyle w:val="ListBullet"/>
      </w:pPr>
      <w:r w:rsidRPr="00B669AC">
        <w:t>planning tools</w:t>
      </w:r>
    </w:p>
    <w:p w:rsidR="00000000" w:rsidRPr="00B669AC" w:rsidP="00B669AC">
      <w:pPr>
        <w:pStyle w:val="ListBullet"/>
      </w:pPr>
      <w:r w:rsidRPr="00B669AC">
        <w:t>enterprise-specific investment management system (IMS)</w:t>
      </w:r>
    </w:p>
    <w:p w:rsidR="00000000" w:rsidRPr="00B669AC" w:rsidP="00B669AC">
      <w:pPr>
        <w:pStyle w:val="ListBullet"/>
      </w:pPr>
      <w:r w:rsidRPr="00B669AC">
        <w:t>relevant databases</w:t>
      </w:r>
    </w:p>
    <w:p w:rsidR="00000000" w:rsidRPr="00B669AC" w:rsidP="00B669AC">
      <w:pPr>
        <w:pStyle w:val="ListBullet"/>
      </w:pPr>
      <w:r w:rsidRPr="00B669AC">
        <w:t>licensing requirements</w:t>
      </w:r>
    </w:p>
    <w:p w:rsidR="00000000" w:rsidRPr="00B669AC" w:rsidP="00B669AC">
      <w:pPr>
        <w:pStyle w:val="ListBullet"/>
      </w:pPr>
      <w:r w:rsidRPr="00B669AC">
        <w:t>relevant procedures.</w:t>
      </w:r>
    </w:p>
    <w:p w:rsidR="00000000" w:rsidRPr="00B669AC" w:rsidP="00B669AC">
      <w:pPr>
        <w:pStyle w:val="BodyText"/>
      </w:pPr>
      <w:r w:rsidRPr="00B669AC">
        <w:t xml:space="preserve"> </w:t>
      </w:r>
    </w:p>
    <w:p w:rsidR="00000000" w:rsidRPr="00B669AC" w:rsidP="009D5151">
      <w:pPr>
        <w:pStyle w:val="BodyText"/>
      </w:pPr>
      <w:r w:rsidRPr="00B669AC">
        <w:t>Assessors of this unit must satisfy the requirements for assessors in applicable vocational education and training legislation, framewor</w:t>
      </w:r>
      <w:r w:rsidRPr="00B669AC">
        <w:t>ks and/or standards.</w:t>
      </w:r>
    </w:p>
    <w:p w:rsidR="00000000" w:rsidRPr="00B669AC" w:rsidP="00B669AC">
      <w:pPr>
        <w:pStyle w:val="Heading1"/>
      </w:pPr>
      <w:bookmarkStart w:id="5" w:name="O_758684"/>
      <w:bookmarkEnd w:id="5"/>
      <w:r w:rsidRPr="00B669AC">
        <w:t>Links</w:t>
      </w:r>
    </w:p>
    <w:p w:rsidR="00000000" w:rsidRPr="00B669AC" w:rsidP="009D5151">
      <w:pPr>
        <w:pStyle w:val="BodyText"/>
      </w:pPr>
      <w:r w:rsidRPr="00B669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C169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669AC" w:rsidP="00B669AC"/>
    <w:sectPr w:rsidSect="00B669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AC" w:rsidRPr="009D5151" w:rsidP="009D5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151" w:rsidP="00B669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151" w:rsidP="00B669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5151" w:rsidP="00B669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9AC" w:rsidRPr="009D5151" w:rsidP="009D5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9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151" w:rsidRPr="002D2AF8" w:rsidP="00B669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ICTNPL411 Apply compliance requirements to telecommunications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9D5151" w:rsidP="00B669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881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E24A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CC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9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9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9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9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9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9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9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9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9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9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9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9AC"/>
  </w:style>
  <w:style w:type="character" w:customStyle="1" w:styleId="Heading1Char">
    <w:name w:val="Heading 1 Char"/>
    <w:basedOn w:val="DefaultParagraphFont"/>
    <w:link w:val="Heading1"/>
    <w:rsid w:val="00B669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9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9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69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9AC"/>
    <w:rPr>
      <w:b/>
      <w:spacing w:val="0"/>
    </w:rPr>
  </w:style>
  <w:style w:type="paragraph" w:styleId="ListBullet2">
    <w:name w:val="List Bullet 2"/>
    <w:basedOn w:val="List2"/>
    <w:rsid w:val="00B669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69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9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9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9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9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9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9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9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9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9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9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9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9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9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9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9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9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9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9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69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9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9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9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69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9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9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9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9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9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9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9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9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9AC"/>
    <w:rPr>
      <w:i/>
    </w:rPr>
  </w:style>
  <w:style w:type="paragraph" w:styleId="Caption">
    <w:name w:val="caption"/>
    <w:basedOn w:val="BodyText"/>
    <w:next w:val="Normal"/>
    <w:qFormat/>
    <w:rsid w:val="00B669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9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9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9AC"/>
  </w:style>
  <w:style w:type="paragraph" w:styleId="TableofFigures">
    <w:name w:val="table of figures"/>
    <w:basedOn w:val="Normal"/>
    <w:next w:val="Normal"/>
    <w:semiHidden/>
    <w:rsid w:val="00B669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9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69AC"/>
    <w:rPr>
      <w:rFonts w:ascii="Wingdings" w:hAnsi="Wingdings"/>
    </w:rPr>
  </w:style>
  <w:style w:type="paragraph" w:customStyle="1" w:styleId="TableHeading">
    <w:name w:val="Table Heading"/>
    <w:basedOn w:val="HeadingBase"/>
    <w:rsid w:val="00B669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9AC"/>
    <w:rPr>
      <w:color w:val="0033CC"/>
      <w:u w:val="none"/>
    </w:rPr>
  </w:style>
  <w:style w:type="paragraph" w:customStyle="1" w:styleId="BodyTextRight">
    <w:name w:val="Body Text Right"/>
    <w:basedOn w:val="BodyText"/>
    <w:rsid w:val="00B669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9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9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9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9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9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9AC"/>
    <w:rPr>
      <w:sz w:val="32"/>
    </w:rPr>
  </w:style>
  <w:style w:type="paragraph" w:customStyle="1" w:styleId="HeadingProcedure">
    <w:name w:val="Heading Procedure"/>
    <w:basedOn w:val="HeadingBase"/>
    <w:next w:val="Normal"/>
    <w:rsid w:val="00B669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9AC"/>
    <w:pPr>
      <w:spacing w:before="60" w:after="60"/>
    </w:pPr>
  </w:style>
  <w:style w:type="paragraph" w:styleId="ListContinue">
    <w:name w:val="List Continue"/>
    <w:basedOn w:val="List"/>
    <w:rsid w:val="00B669AC"/>
    <w:pPr>
      <w:ind w:firstLine="0"/>
    </w:pPr>
  </w:style>
  <w:style w:type="paragraph" w:customStyle="1" w:styleId="ListNote">
    <w:name w:val="List Note"/>
    <w:basedOn w:val="List"/>
    <w:rsid w:val="00B669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9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9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9AC"/>
    <w:rPr>
      <w:rFonts w:ascii="Courier New" w:hAnsi="Courier New"/>
    </w:rPr>
  </w:style>
  <w:style w:type="paragraph" w:customStyle="1" w:styleId="NoteBullet">
    <w:name w:val="Note Bullet"/>
    <w:basedOn w:val="Note"/>
    <w:rsid w:val="00B669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9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9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9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9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69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9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9AC"/>
    <w:rPr>
      <w:b/>
      <w:smallCaps/>
    </w:rPr>
  </w:style>
  <w:style w:type="paragraph" w:customStyle="1" w:styleId="TableListNumber">
    <w:name w:val="Table List Number"/>
    <w:basedOn w:val="ListNumber"/>
    <w:rsid w:val="00B669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9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9AC"/>
    <w:pPr>
      <w:numPr>
        <w:numId w:val="9"/>
      </w:numPr>
    </w:pPr>
  </w:style>
  <w:style w:type="paragraph" w:customStyle="1" w:styleId="ListAlpha2">
    <w:name w:val="List Alpha 2"/>
    <w:basedOn w:val="List2"/>
    <w:rsid w:val="00B669AC"/>
    <w:pPr>
      <w:numPr>
        <w:numId w:val="8"/>
      </w:numPr>
    </w:pPr>
  </w:style>
  <w:style w:type="paragraph" w:styleId="List2">
    <w:name w:val="List 2"/>
    <w:basedOn w:val="BodyText"/>
    <w:rsid w:val="00B669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9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9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9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9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9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69AC"/>
    <w:pPr>
      <w:numPr>
        <w:numId w:val="4"/>
      </w:numPr>
    </w:pPr>
  </w:style>
  <w:style w:type="paragraph" w:styleId="ListContinue2">
    <w:name w:val="List Continue 2"/>
    <w:basedOn w:val="List2"/>
    <w:rsid w:val="00B669AC"/>
    <w:pPr>
      <w:ind w:firstLine="0"/>
    </w:pPr>
  </w:style>
  <w:style w:type="paragraph" w:styleId="ListContinue3">
    <w:name w:val="List Continue 3"/>
    <w:basedOn w:val="List3"/>
    <w:rsid w:val="00B669AC"/>
    <w:pPr>
      <w:ind w:left="1021" w:firstLine="0"/>
    </w:pPr>
  </w:style>
  <w:style w:type="paragraph" w:styleId="ListContinue4">
    <w:name w:val="List Continue 4"/>
    <w:basedOn w:val="List4"/>
    <w:rsid w:val="00B669AC"/>
    <w:pPr>
      <w:ind w:firstLine="0"/>
    </w:pPr>
  </w:style>
  <w:style w:type="paragraph" w:styleId="ListContinue5">
    <w:name w:val="List Continue 5"/>
    <w:basedOn w:val="List5"/>
    <w:rsid w:val="00B669AC"/>
    <w:pPr>
      <w:ind w:firstLine="0"/>
    </w:pPr>
  </w:style>
  <w:style w:type="paragraph" w:styleId="ListNumber3">
    <w:name w:val="List Number 3"/>
    <w:basedOn w:val="List3"/>
    <w:rsid w:val="00B669AC"/>
    <w:pPr>
      <w:numPr>
        <w:numId w:val="5"/>
      </w:numPr>
    </w:pPr>
  </w:style>
  <w:style w:type="paragraph" w:styleId="ListNumber4">
    <w:name w:val="List Number 4"/>
    <w:basedOn w:val="List4"/>
    <w:rsid w:val="00B669AC"/>
    <w:pPr>
      <w:numPr>
        <w:numId w:val="6"/>
      </w:numPr>
    </w:pPr>
  </w:style>
  <w:style w:type="paragraph" w:styleId="ListNumber5">
    <w:name w:val="List Number 5"/>
    <w:basedOn w:val="List5"/>
    <w:rsid w:val="00B669AC"/>
    <w:pPr>
      <w:numPr>
        <w:numId w:val="7"/>
      </w:numPr>
    </w:pPr>
  </w:style>
  <w:style w:type="paragraph" w:styleId="BlockText">
    <w:name w:val="Block Text"/>
    <w:basedOn w:val="Normal"/>
    <w:rsid w:val="00B669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9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9AC"/>
    <w:rPr>
      <w:sz w:val="16"/>
      <w:vertAlign w:val="superscript"/>
    </w:rPr>
  </w:style>
  <w:style w:type="character" w:customStyle="1" w:styleId="Symbols">
    <w:name w:val="Symbols"/>
    <w:basedOn w:val="DefaultParagraphFont"/>
    <w:rsid w:val="00B669AC"/>
    <w:rPr>
      <w:rFonts w:ascii="Symbol" w:hAnsi="Symbol"/>
    </w:rPr>
  </w:style>
  <w:style w:type="character" w:customStyle="1" w:styleId="MenuOptions">
    <w:name w:val="Menu Options"/>
    <w:basedOn w:val="DefaultParagraphFont"/>
    <w:rsid w:val="00B669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9AC"/>
    <w:rPr>
      <w:b/>
    </w:rPr>
  </w:style>
  <w:style w:type="character" w:customStyle="1" w:styleId="Underlined">
    <w:name w:val="Underlined"/>
    <w:basedOn w:val="DefaultParagraphFont"/>
    <w:rsid w:val="00B669AC"/>
    <w:rPr>
      <w:u w:val="single"/>
    </w:rPr>
  </w:style>
  <w:style w:type="paragraph" w:customStyle="1" w:styleId="TableBodyTextRight">
    <w:name w:val="Table Body Text Right"/>
    <w:basedOn w:val="TableBodyText"/>
    <w:rsid w:val="00B669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9AC"/>
    <w:rPr>
      <w:sz w:val="18"/>
    </w:rPr>
  </w:style>
  <w:style w:type="paragraph" w:customStyle="1" w:styleId="BodySmallRight">
    <w:name w:val="Body Small Right"/>
    <w:basedOn w:val="BodyTextRight"/>
    <w:rsid w:val="00B669AC"/>
    <w:rPr>
      <w:sz w:val="18"/>
      <w:szCs w:val="18"/>
    </w:rPr>
  </w:style>
  <w:style w:type="paragraph" w:customStyle="1" w:styleId="MarginEdition">
    <w:name w:val="Margin Edition"/>
    <w:basedOn w:val="MarginNote"/>
    <w:rsid w:val="00B669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9AC"/>
    <w:rPr>
      <w:sz w:val="2"/>
      <w:szCs w:val="2"/>
    </w:rPr>
  </w:style>
  <w:style w:type="character" w:customStyle="1" w:styleId="Small">
    <w:name w:val="Small"/>
    <w:basedOn w:val="DefaultParagraphFont"/>
    <w:rsid w:val="00B669AC"/>
    <w:rPr>
      <w:sz w:val="16"/>
    </w:rPr>
  </w:style>
  <w:style w:type="paragraph" w:customStyle="1" w:styleId="WideTable">
    <w:name w:val="Wide Table"/>
    <w:basedOn w:val="Normal"/>
    <w:rsid w:val="00B669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9AC"/>
  </w:style>
  <w:style w:type="paragraph" w:styleId="Quote">
    <w:name w:val="Quote"/>
    <w:basedOn w:val="Heading1"/>
    <w:link w:val="QuoteChar"/>
    <w:qFormat/>
    <w:rsid w:val="00B669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9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9AC"/>
    <w:pPr>
      <w:pageBreakBefore/>
    </w:pPr>
  </w:style>
  <w:style w:type="paragraph" w:customStyle="1" w:styleId="Border">
    <w:name w:val="Border"/>
    <w:basedOn w:val="Normal"/>
    <w:qFormat/>
    <w:rsid w:val="00B669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9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9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9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9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9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9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9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9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9AC"/>
    <w:rPr>
      <w:u w:val="single"/>
    </w:rPr>
  </w:style>
  <w:style w:type="character" w:customStyle="1" w:styleId="BoldandItalics">
    <w:name w:val="Bold and Italics"/>
    <w:qFormat/>
    <w:rsid w:val="00B669AC"/>
    <w:rPr>
      <w:b/>
      <w:i/>
      <w:u w:val="none"/>
    </w:rPr>
  </w:style>
  <w:style w:type="paragraph" w:styleId="BalloonText">
    <w:name w:val="Balloon Text"/>
    <w:basedOn w:val="Normal"/>
    <w:link w:val="BalloonTextChar"/>
    <w:rsid w:val="00B669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9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9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9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9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9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9AC"/>
    <w:pPr>
      <w:spacing w:before="0" w:after="0"/>
    </w:pPr>
  </w:style>
  <w:style w:type="paragraph" w:customStyle="1" w:styleId="BodyTextBold">
    <w:name w:val="Body Text Bold"/>
    <w:basedOn w:val="BodyText"/>
    <w:qFormat/>
    <w:rsid w:val="00B669AC"/>
    <w:rPr>
      <w:b/>
    </w:rPr>
  </w:style>
  <w:style w:type="character" w:styleId="Hyperlink">
    <w:name w:val="Hyperlink"/>
    <w:basedOn w:val="DefaultParagraphFont"/>
    <w:uiPriority w:val="99"/>
    <w:unhideWhenUsed/>
    <w:rsid w:val="009D5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2420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ICTNPL411 Apply compliance requirements to telecommunications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2021-01-19T01:47:00Z</dcterms:created>
  <dcterms:modified xsi:type="dcterms:W3CDTF">2021-01-19T01:47:00Z</dcterms:modified>
</cp:coreProperties>
</file>