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604" w:rsidP="002066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ICTICT520 Confirm transition strategy for new systems</w:t>
      </w:r>
      <w:r>
        <w:fldChar w:fldCharType="end"/>
      </w:r>
    </w:p>
    <w:p w:rsidR="00206604" w:rsidP="00206604">
      <w:pPr>
        <w:pStyle w:val="Version"/>
        <w:sectPr w:rsidSect="003D6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6ACD" w:rsidP="003D6ACD">
      <w:pPr>
        <w:pStyle w:val="SuperHeading"/>
      </w:pPr>
      <w:r w:rsidRPr="003D6ACD">
        <w:t>ICTICT520 Confirm transition strategy for new systems</w:t>
      </w:r>
    </w:p>
    <w:p w:rsidR="00000000" w:rsidRPr="003D6ACD" w:rsidP="003D6ACD">
      <w:pPr>
        <w:pStyle w:val="Heading1"/>
      </w:pPr>
      <w:bookmarkStart w:id="1" w:name="O_1093076"/>
      <w:bookmarkEnd w:id="1"/>
      <w:r w:rsidRPr="003D6A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066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BodyText"/>
            </w:pPr>
            <w:r w:rsidRPr="003D6AC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rPr>
                <w:rStyle w:val="SpecialBold"/>
              </w:rPr>
              <w:t>Comments</w:t>
            </w:r>
          </w:p>
        </w:tc>
      </w:tr>
      <w:tr w:rsidTr="002066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BodyText"/>
            </w:pPr>
            <w:r w:rsidRPr="003D6ACD">
              <w:t>This version first released with ICT Information and Communications Technology Training Package Version 6.0.</w:t>
            </w:r>
          </w:p>
        </w:tc>
      </w:tr>
    </w:tbl>
    <w:p w:rsidR="00000000" w:rsidRPr="003D6ACD" w:rsidP="003D6ACD">
      <w:pPr>
        <w:pStyle w:val="BodyText"/>
      </w:pPr>
    </w:p>
    <w:p w:rsidR="00000000" w:rsidRPr="003D6ACD" w:rsidP="003D6ACD">
      <w:pPr>
        <w:pStyle w:val="AllowPageBreak"/>
      </w:pPr>
    </w:p>
    <w:p w:rsidR="00000000" w:rsidRPr="003D6ACD" w:rsidP="003D6ACD">
      <w:pPr>
        <w:pStyle w:val="Heading1"/>
      </w:pPr>
      <w:bookmarkStart w:id="2" w:name="O_1093081"/>
      <w:bookmarkEnd w:id="2"/>
      <w:r w:rsidRPr="003D6ACD">
        <w:t>Application</w:t>
      </w:r>
    </w:p>
    <w:p w:rsidR="00000000" w:rsidRPr="003D6ACD" w:rsidP="00206604">
      <w:pPr>
        <w:pStyle w:val="BodyText"/>
      </w:pPr>
      <w:r w:rsidRPr="003D6ACD">
        <w:t>This unit describes the skills and knowledge re</w:t>
      </w:r>
      <w:r w:rsidRPr="003D6ACD">
        <w:t>quired to confirm a transition strategy for new systems based on a revised system design and newly developed change management plan.</w:t>
      </w:r>
    </w:p>
    <w:p w:rsidR="00000000" w:rsidRPr="003D6ACD" w:rsidP="00206604">
      <w:pPr>
        <w:pStyle w:val="BodyText"/>
      </w:pPr>
      <w:r w:rsidRPr="003D6ACD">
        <w:t>The unit applies to those who work as part of a team in a range of information and communications technology (ICT) position</w:t>
      </w:r>
      <w:r w:rsidRPr="003D6ACD">
        <w:t>s and who are required to plan for a transition to new system websites, networks or software.</w:t>
      </w:r>
    </w:p>
    <w:p w:rsidR="00000000" w:rsidRPr="003D6ACD" w:rsidP="00206604">
      <w:pPr>
        <w:pStyle w:val="BodyText"/>
      </w:pPr>
      <w:r w:rsidRPr="003D6ACD">
        <w:t>No licensing, legislative or certification requirements apply to this unit at the time of publication.</w:t>
      </w:r>
    </w:p>
    <w:p w:rsidR="00000000" w:rsidRPr="003D6ACD" w:rsidP="003D6ACD">
      <w:pPr>
        <w:pStyle w:val="Heading1"/>
      </w:pPr>
      <w:bookmarkStart w:id="3" w:name="O_1093080"/>
      <w:bookmarkEnd w:id="3"/>
      <w:r w:rsidRPr="003D6ACD">
        <w:t>Unit Sector</w:t>
      </w:r>
    </w:p>
    <w:p w:rsidR="00000000" w:rsidRPr="003D6ACD" w:rsidP="00206604">
      <w:pPr>
        <w:pStyle w:val="BodyText"/>
      </w:pPr>
      <w:r w:rsidRPr="003D6ACD">
        <w:t>General ICT</w:t>
      </w:r>
    </w:p>
    <w:p w:rsidR="00000000" w:rsidRPr="003D6ACD" w:rsidP="003D6ACD">
      <w:pPr>
        <w:pStyle w:val="Heading1"/>
      </w:pPr>
      <w:bookmarkStart w:id="4" w:name="O_1093079"/>
      <w:bookmarkEnd w:id="4"/>
      <w:r w:rsidRPr="003D6A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BodyText"/>
            </w:pPr>
            <w:r w:rsidRPr="003D6ACD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rPr>
                <w:rStyle w:val="SpecialBold"/>
              </w:rPr>
              <w:t>PERFORMANCE CRITERIA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BodyText"/>
            </w:pPr>
            <w:r w:rsidRPr="003D6ACD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List"/>
              <w:rPr>
                <w:lang w:val="en-NZ"/>
              </w:rPr>
            </w:pPr>
            <w:r w:rsidRPr="003D6ACD">
              <w:t>1. Confirm delivery and acceptance plan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List"/>
            </w:pPr>
            <w:r w:rsidRPr="003D6ACD">
              <w:t xml:space="preserve">1.1 Evaluate revised system design and change management plan </w:t>
            </w:r>
          </w:p>
          <w:p w:rsidR="00000000" w:rsidRPr="003D6ACD" w:rsidP="003D6ACD">
            <w:pPr>
              <w:pStyle w:val="List"/>
            </w:pPr>
            <w:r w:rsidRPr="003D6ACD">
              <w:t>1.2 Confirm phased delivery with client and project team</w:t>
            </w:r>
          </w:p>
          <w:p w:rsidR="00000000" w:rsidRPr="003D6ACD" w:rsidP="003D6ACD">
            <w:pPr>
              <w:pStyle w:val="List"/>
            </w:pPr>
            <w:r w:rsidRPr="003D6ACD">
              <w:t>1.3 Confirm method of acceptance and acceptance criteria</w:t>
            </w:r>
          </w:p>
          <w:p w:rsidR="00000000" w:rsidP="003D6ACD">
            <w:pPr>
              <w:pStyle w:val="List"/>
              <w:rPr>
                <w:lang w:val="en-NZ"/>
              </w:rPr>
            </w:pPr>
            <w:r w:rsidRPr="003D6ACD">
              <w:t>1.4 Confirm that acceptance test plan is in place and agreed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List"/>
              <w:rPr>
                <w:lang w:val="en-NZ"/>
              </w:rPr>
            </w:pPr>
            <w:r w:rsidRPr="003D6ACD">
              <w:t>2. Develop and confirm data take-up plan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List"/>
            </w:pPr>
            <w:r w:rsidRPr="003D6ACD">
              <w:t>2.1 Identify data source for each database</w:t>
            </w:r>
          </w:p>
          <w:p w:rsidR="00000000" w:rsidRPr="003D6ACD" w:rsidP="003D6ACD">
            <w:pPr>
              <w:pStyle w:val="List"/>
            </w:pPr>
            <w:r w:rsidRPr="003D6ACD">
              <w:t>2.2 Analyse potential integrity constraints</w:t>
            </w:r>
          </w:p>
          <w:p w:rsidR="00000000" w:rsidRPr="003D6ACD" w:rsidP="003D6ACD">
            <w:pPr>
              <w:pStyle w:val="List"/>
            </w:pPr>
            <w:r w:rsidRPr="003D6ACD">
              <w:t>2.3 Design data conversion workflow</w:t>
            </w:r>
          </w:p>
          <w:p w:rsidR="00000000" w:rsidRPr="003D6ACD" w:rsidP="003D6ACD">
            <w:pPr>
              <w:pStyle w:val="List"/>
            </w:pPr>
            <w:r w:rsidRPr="003D6ACD">
              <w:t>2.4 Identify interface requirements, data take-up method, complexity and effort required</w:t>
            </w:r>
          </w:p>
          <w:p w:rsidR="00000000" w:rsidP="003D6ACD">
            <w:pPr>
              <w:pStyle w:val="List"/>
              <w:rPr>
                <w:lang w:val="en-NZ"/>
              </w:rPr>
            </w:pPr>
            <w:r w:rsidRPr="003D6ACD">
              <w:t>2.5</w:t>
            </w:r>
            <w:r w:rsidRPr="003D6ACD">
              <w:t xml:space="preserve"> Develop required data conversion contingencies and confirm </w:t>
            </w:r>
            <w:r w:rsidRPr="003D6ACD">
              <w:t xml:space="preserve">with required personnel 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List"/>
              <w:rPr>
                <w:lang w:val="en-NZ"/>
              </w:rPr>
            </w:pPr>
            <w:r w:rsidRPr="003D6ACD">
              <w:t>3. Confirm cutover plan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List"/>
            </w:pPr>
            <w:r w:rsidRPr="003D6ACD">
              <w:t>3.1 Agree on conversion window in operational timescale with required personnel</w:t>
            </w:r>
          </w:p>
          <w:p w:rsidR="00000000" w:rsidRPr="003D6ACD" w:rsidP="003D6ACD">
            <w:pPr>
              <w:pStyle w:val="List"/>
            </w:pPr>
            <w:r w:rsidRPr="003D6ACD">
              <w:t>3.2 Plan and confirm parallel running with required personnel</w:t>
            </w:r>
          </w:p>
          <w:p w:rsidR="00000000" w:rsidRPr="003D6ACD" w:rsidP="003D6ACD">
            <w:pPr>
              <w:pStyle w:val="List"/>
            </w:pPr>
            <w:r w:rsidRPr="003D6ACD">
              <w:t xml:space="preserve">3.3 </w:t>
            </w:r>
            <w:r w:rsidRPr="003D6ACD">
              <w:t>Determine and confirm approval of dependencies with required personnel</w:t>
            </w:r>
          </w:p>
          <w:p w:rsidR="00000000" w:rsidRPr="003D6ACD" w:rsidP="003D6ACD">
            <w:pPr>
              <w:pStyle w:val="List"/>
            </w:pPr>
            <w:r w:rsidRPr="003D6ACD">
              <w:t>3.4 Determine and confirm approval of fall-back options with required personnel</w:t>
            </w:r>
          </w:p>
          <w:p w:rsidR="00000000" w:rsidRPr="003D6ACD" w:rsidP="003D6ACD">
            <w:pPr>
              <w:pStyle w:val="List"/>
            </w:pPr>
            <w:r w:rsidRPr="003D6ACD">
              <w:t xml:space="preserve">3.5 Confirm approval of checkpoints, tests and responsibilities with required personnel </w:t>
            </w:r>
          </w:p>
          <w:p w:rsidR="00000000" w:rsidRPr="003D6ACD" w:rsidP="003D6ACD">
            <w:pPr>
              <w:pStyle w:val="List"/>
            </w:pPr>
            <w:r w:rsidRPr="003D6ACD">
              <w:t>3.6 Confirm appr</w:t>
            </w:r>
            <w:r w:rsidRPr="003D6ACD">
              <w:t>oval of resources, tasks and timescales with required personnel</w:t>
            </w:r>
          </w:p>
        </w:tc>
      </w:tr>
    </w:tbl>
    <w:p w:rsidR="00000000" w:rsidRPr="003D6ACD" w:rsidP="003D6ACD">
      <w:pPr>
        <w:pStyle w:val="List2"/>
      </w:pPr>
    </w:p>
    <w:p w:rsidR="00000000" w:rsidRPr="003D6ACD" w:rsidP="003D6ACD">
      <w:pPr>
        <w:pStyle w:val="AllowPageBreak"/>
      </w:pPr>
    </w:p>
    <w:p w:rsidR="00000000" w:rsidRPr="003D6ACD" w:rsidP="003D6ACD">
      <w:pPr>
        <w:pStyle w:val="Heading1"/>
      </w:pPr>
      <w:bookmarkStart w:id="5" w:name="O_1093078"/>
      <w:bookmarkEnd w:id="5"/>
      <w:r w:rsidRPr="003D6ACD">
        <w:t>Foundation Skills</w:t>
      </w:r>
    </w:p>
    <w:p w:rsidR="00000000" w:rsidRPr="00206604" w:rsidP="00206604">
      <w:pPr>
        <w:pStyle w:val="BodyText"/>
        <w:rPr>
          <w:i/>
        </w:rPr>
      </w:pPr>
      <w:r w:rsidRPr="0020660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94"/>
      </w:tblGrid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BodyText"/>
            </w:pPr>
            <w:r w:rsidRPr="003D6ACD">
              <w:rPr>
                <w:rStyle w:val="SpecialBold"/>
              </w:rPr>
              <w:t>SKILL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rPr>
                <w:rStyle w:val="SpecialBold"/>
              </w:rPr>
              <w:t>DESCRIPTION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t>Reading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ListBullet"/>
              <w:rPr>
                <w:lang w:val="en-NZ"/>
              </w:rPr>
            </w:pPr>
            <w:r w:rsidRPr="003D6ACD">
              <w:t>Identifies and analyses complex electronic and hard copy documentati</w:t>
            </w:r>
            <w:r w:rsidRPr="003D6ACD">
              <w:t>on, information and data containing specific terminology, diagrams and numerical information to organise conversion and identify data convention contingencies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t>Writing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ListBullet"/>
              <w:rPr>
                <w:lang w:val="en-NZ"/>
              </w:rPr>
            </w:pPr>
            <w:r w:rsidRPr="003D6ACD">
              <w:t>Applies formal labels, logos, formatting and document structure required by the organisation to ensure signoff obtained is valid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t>Oral Communication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ListBullet"/>
              <w:rPr>
                <w:lang w:val="en-NZ"/>
              </w:rPr>
            </w:pPr>
            <w:r w:rsidRPr="003D6ACD">
              <w:t>Articulates strategies clearly and distinctively, based on techniques and language specific to audience an</w:t>
            </w:r>
            <w:r w:rsidRPr="003D6ACD">
              <w:t>d environment, and uses probing, clarifying questions to ensure strategies are understood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t>Numeracy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ListBullet"/>
              <w:rPr>
                <w:lang w:val="en-NZ"/>
              </w:rPr>
            </w:pPr>
            <w:r w:rsidRPr="003D6ACD">
              <w:t xml:space="preserve">Interprets and analyses numerical and financial information and applies mathematical calculations </w:t>
            </w:r>
            <w:r w:rsidRPr="003D6ACD">
              <w:t>and financial functions related to timeframe, logistics and budgets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t>Planning and organising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ListBullet"/>
            </w:pPr>
            <w:r w:rsidRPr="003D6ACD">
              <w:t>Applies formal processes when planning more complex tasks, producing plans with logically sequenced steps and reflecting some awareness of resource constraints</w:t>
            </w:r>
          </w:p>
          <w:p w:rsidR="00000000" w:rsidP="003D6ACD">
            <w:pPr>
              <w:pStyle w:val="ListBullet"/>
              <w:rPr>
                <w:lang w:val="en-NZ"/>
              </w:rPr>
            </w:pPr>
            <w:r w:rsidRPr="003D6ACD">
              <w:t>Us</w:t>
            </w:r>
            <w:r w:rsidRPr="003D6ACD">
              <w:t>es analytical processes in a variety of situations, setting goals, gathering relevant information and identifying and evaluating options against agreed criteria</w:t>
            </w:r>
          </w:p>
        </w:tc>
      </w:tr>
      <w:tr w:rsidTr="003D6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t xml:space="preserve">Technology 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ListBullet"/>
            </w:pPr>
            <w:r w:rsidRPr="003D6ACD">
              <w:t xml:space="preserve">Demonstrates a sophisticated understanding of principles, concepts, language and </w:t>
            </w:r>
            <w:r w:rsidRPr="003D6ACD">
              <w:t xml:space="preserve">practices associated with the digital </w:t>
            </w:r>
            <w:r w:rsidRPr="003D6ACD">
              <w:t>world and uses these to troubleshoot</w:t>
            </w:r>
          </w:p>
        </w:tc>
      </w:tr>
    </w:tbl>
    <w:p w:rsidR="00000000" w:rsidRPr="003D6ACD" w:rsidP="003D6ACD">
      <w:pPr>
        <w:pStyle w:val="BodyText"/>
      </w:pPr>
    </w:p>
    <w:p w:rsidR="00000000" w:rsidRPr="003D6ACD" w:rsidP="003D6ACD">
      <w:pPr>
        <w:pStyle w:val="AllowPageBreak"/>
      </w:pPr>
    </w:p>
    <w:p w:rsidR="00000000" w:rsidRPr="003D6ACD" w:rsidP="003D6ACD">
      <w:pPr>
        <w:pStyle w:val="Heading1"/>
      </w:pPr>
      <w:bookmarkStart w:id="6" w:name="O_1093077"/>
      <w:bookmarkEnd w:id="6"/>
      <w:r w:rsidRPr="003D6ACD">
        <w:t>Unit Mapping Information</w:t>
      </w:r>
    </w:p>
    <w:p w:rsidR="00000000" w:rsidRPr="003D6ACD" w:rsidP="00206604">
      <w:pPr>
        <w:pStyle w:val="BodyText"/>
      </w:pPr>
      <w:r w:rsidRPr="003D6ACD">
        <w:t>Supersedes and is equivalent to ICTICT504 Confirm transition strategy for a new system.</w:t>
      </w:r>
    </w:p>
    <w:p w:rsidR="00000000" w:rsidRPr="003D6ACD" w:rsidP="003D6ACD">
      <w:pPr>
        <w:pStyle w:val="Heading1"/>
      </w:pPr>
      <w:bookmarkStart w:id="7" w:name="O_1093070"/>
      <w:bookmarkEnd w:id="7"/>
      <w:r w:rsidRPr="003D6ACD">
        <w:t>Links</w:t>
      </w:r>
    </w:p>
    <w:p w:rsidR="00000000" w:rsidRPr="003D6ACD" w:rsidP="00206604">
      <w:pPr>
        <w:pStyle w:val="BodyText"/>
      </w:pPr>
      <w:r w:rsidRPr="003D6A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162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6ACD" w:rsidP="00206604">
      <w:pPr>
        <w:pStyle w:val="BodyText"/>
        <w:sectPr w:rsidSect="003D6A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6ACD" w:rsidP="003D6ACD">
      <w:pPr>
        <w:pStyle w:val="SuperHeading"/>
      </w:pPr>
      <w:r w:rsidRPr="003D6ACD">
        <w:t>Assessment Requirements for ICTICT520 Confirm transition strategy</w:t>
      </w:r>
      <w:r w:rsidRPr="003D6ACD">
        <w:t xml:space="preserve"> for new systems</w:t>
      </w:r>
    </w:p>
    <w:p w:rsidR="00000000" w:rsidRPr="003D6ACD" w:rsidP="003D6ACD">
      <w:pPr>
        <w:pStyle w:val="Heading1"/>
      </w:pPr>
      <w:bookmarkStart w:id="8" w:name="O_1093072"/>
      <w:bookmarkEnd w:id="8"/>
      <w:r w:rsidRPr="003D6AC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066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BodyText"/>
            </w:pPr>
            <w:r w:rsidRPr="003D6AC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rPr>
                <w:rStyle w:val="SpecialBold"/>
              </w:rPr>
              <w:t>Comments</w:t>
            </w:r>
          </w:p>
        </w:tc>
      </w:tr>
      <w:tr w:rsidTr="0020660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CD">
            <w:pPr>
              <w:pStyle w:val="BodyText"/>
              <w:rPr>
                <w:lang w:val="en-NZ"/>
              </w:rPr>
            </w:pPr>
            <w:r w:rsidRPr="003D6AC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CD" w:rsidP="003D6ACD">
            <w:pPr>
              <w:pStyle w:val="BodyText"/>
            </w:pPr>
            <w:r w:rsidRPr="003D6ACD">
              <w:t>This version first released with ICT Information and Communications Technology Training Package Version 6.0.</w:t>
            </w:r>
          </w:p>
        </w:tc>
      </w:tr>
    </w:tbl>
    <w:p w:rsidR="00000000" w:rsidRPr="003D6ACD" w:rsidP="003D6ACD">
      <w:pPr>
        <w:pStyle w:val="BodyText"/>
      </w:pPr>
    </w:p>
    <w:p w:rsidR="00000000" w:rsidRPr="003D6ACD" w:rsidP="003D6ACD">
      <w:pPr>
        <w:pStyle w:val="AllowPageBreak"/>
      </w:pPr>
    </w:p>
    <w:p w:rsidR="00000000" w:rsidRPr="003D6ACD" w:rsidP="003D6ACD">
      <w:pPr>
        <w:pStyle w:val="Heading1"/>
      </w:pPr>
      <w:bookmarkStart w:id="9" w:name="O_1093075"/>
      <w:bookmarkEnd w:id="9"/>
      <w:r w:rsidRPr="003D6ACD">
        <w:t>Performance Evidence</w:t>
      </w:r>
    </w:p>
    <w:p w:rsidR="00000000" w:rsidRPr="003D6ACD" w:rsidP="00206604">
      <w:pPr>
        <w:pStyle w:val="BodyText"/>
      </w:pPr>
      <w:r w:rsidRPr="003D6ACD">
        <w:t>The candidate must demonstrate the ability to complete the tasks outlined in the elements, performance criteria and foundation skills of this unit, including evidence of the ability to:</w:t>
      </w:r>
    </w:p>
    <w:p w:rsidR="00000000" w:rsidRPr="003D6ACD" w:rsidP="003D6ACD">
      <w:pPr>
        <w:pStyle w:val="ListBullet"/>
      </w:pPr>
      <w:r w:rsidRPr="003D6ACD">
        <w:t>confirm new systems transition strategy for an organisation on at lea</w:t>
      </w:r>
      <w:r w:rsidRPr="003D6ACD">
        <w:t xml:space="preserve">st one occasion, including: </w:t>
      </w:r>
    </w:p>
    <w:p w:rsidR="00000000" w:rsidRPr="003D6ACD" w:rsidP="003D6ACD">
      <w:pPr>
        <w:pStyle w:val="ListBullet2"/>
      </w:pPr>
      <w:r w:rsidRPr="003D6ACD">
        <w:t>confirming acceptance plan</w:t>
      </w:r>
    </w:p>
    <w:p w:rsidR="00000000" w:rsidRPr="003D6ACD" w:rsidP="003D6ACD">
      <w:pPr>
        <w:pStyle w:val="ListBullet2"/>
      </w:pPr>
      <w:r w:rsidRPr="003D6ACD">
        <w:t>developing and confirming data take-up plan</w:t>
      </w:r>
    </w:p>
    <w:p w:rsidR="00000000" w:rsidRPr="003D6ACD" w:rsidP="003D6ACD">
      <w:pPr>
        <w:pStyle w:val="ListBullet2"/>
      </w:pPr>
      <w:r w:rsidRPr="003D6ACD">
        <w:t>confirming cutover plan.</w:t>
      </w:r>
    </w:p>
    <w:p w:rsidR="00000000" w:rsidRPr="003D6ACD" w:rsidP="003D6ACD">
      <w:pPr>
        <w:pStyle w:val="List"/>
      </w:pPr>
    </w:p>
    <w:p w:rsidR="00000000" w:rsidRPr="003D6ACD" w:rsidP="00206604">
      <w:pPr>
        <w:pStyle w:val="BodyText"/>
      </w:pPr>
      <w:r w:rsidRPr="003D6ACD">
        <w:t>In the course of the above the candidate must:</w:t>
      </w:r>
    </w:p>
    <w:p w:rsidR="00000000" w:rsidRPr="003D6ACD" w:rsidP="003D6ACD">
      <w:pPr>
        <w:pStyle w:val="ListBullet"/>
      </w:pPr>
      <w:r w:rsidRPr="003D6ACD">
        <w:t>identify and liaise with required personnel</w:t>
      </w:r>
    </w:p>
    <w:p w:rsidR="00000000" w:rsidRPr="003D6ACD" w:rsidP="003D6ACD">
      <w:pPr>
        <w:pStyle w:val="ListBullet"/>
      </w:pPr>
      <w:r w:rsidRPr="003D6ACD">
        <w:t xml:space="preserve">seek and respond to feedback. </w:t>
      </w:r>
    </w:p>
    <w:p w:rsidR="00000000" w:rsidRPr="003D6ACD" w:rsidP="003D6ACD">
      <w:pPr>
        <w:pStyle w:val="AllowPageBreak"/>
      </w:pPr>
    </w:p>
    <w:p w:rsidR="00000000" w:rsidRPr="003D6ACD" w:rsidP="003D6ACD">
      <w:pPr>
        <w:pStyle w:val="Heading1"/>
      </w:pPr>
      <w:bookmarkStart w:id="10" w:name="O_1093074"/>
      <w:bookmarkEnd w:id="10"/>
      <w:r w:rsidRPr="003D6ACD">
        <w:t>Knowledge Evidence</w:t>
      </w:r>
    </w:p>
    <w:p w:rsidR="00000000" w:rsidRPr="003D6ACD" w:rsidP="00206604">
      <w:pPr>
        <w:pStyle w:val="BodyText"/>
      </w:pPr>
      <w:r w:rsidRPr="003D6ACD">
        <w:t>The candidate must be able to demonstrate knowledge to complete the tasks outlined in the elements, performance criteria and foundation skills of this unit, including knowledge of:</w:t>
      </w:r>
    </w:p>
    <w:p w:rsidR="00000000" w:rsidRPr="003D6ACD" w:rsidP="003D6ACD">
      <w:pPr>
        <w:pStyle w:val="ListBullet"/>
      </w:pPr>
      <w:r w:rsidRPr="003D6ACD">
        <w:t>technology transition strategies</w:t>
      </w:r>
    </w:p>
    <w:p w:rsidR="00000000" w:rsidRPr="003D6ACD" w:rsidP="003D6ACD">
      <w:pPr>
        <w:pStyle w:val="ListBullet"/>
      </w:pPr>
      <w:r w:rsidRPr="003D6ACD">
        <w:t>curr</w:t>
      </w:r>
      <w:r w:rsidRPr="003D6ACD">
        <w:t>ent business practices related to transition strategies</w:t>
      </w:r>
    </w:p>
    <w:p w:rsidR="00000000" w:rsidRPr="003D6ACD" w:rsidP="003D6ACD">
      <w:pPr>
        <w:pStyle w:val="ListBullet"/>
      </w:pPr>
      <w:r w:rsidRPr="003D6ACD">
        <w:t xml:space="preserve">phased delivery requirements </w:t>
      </w:r>
    </w:p>
    <w:p w:rsidR="00000000" w:rsidRPr="003D6ACD" w:rsidP="003D6ACD">
      <w:pPr>
        <w:pStyle w:val="ListBullet"/>
      </w:pPr>
      <w:r w:rsidRPr="003D6ACD">
        <w:t xml:space="preserve">methods of acceptance for transition strategies </w:t>
      </w:r>
    </w:p>
    <w:p w:rsidR="00000000" w:rsidRPr="003D6ACD" w:rsidP="003D6ACD">
      <w:pPr>
        <w:pStyle w:val="ListBullet"/>
      </w:pPr>
      <w:r w:rsidRPr="003D6ACD">
        <w:t xml:space="preserve">key features of data take-up, including: </w:t>
      </w:r>
    </w:p>
    <w:p w:rsidR="00000000" w:rsidRPr="003D6ACD" w:rsidP="003D6ACD">
      <w:pPr>
        <w:pStyle w:val="ListBullet2"/>
      </w:pPr>
      <w:r w:rsidRPr="003D6ACD">
        <w:t xml:space="preserve">data sources </w:t>
      </w:r>
    </w:p>
    <w:p w:rsidR="00000000" w:rsidRPr="003D6ACD" w:rsidP="003D6ACD">
      <w:pPr>
        <w:pStyle w:val="ListBullet2"/>
      </w:pPr>
      <w:r w:rsidRPr="003D6ACD">
        <w:t xml:space="preserve">integrity constraints </w:t>
      </w:r>
    </w:p>
    <w:p w:rsidR="00000000" w:rsidRPr="003D6ACD" w:rsidP="003D6ACD">
      <w:pPr>
        <w:pStyle w:val="ListBullet2"/>
      </w:pPr>
      <w:r w:rsidRPr="003D6ACD">
        <w:t xml:space="preserve">data conversion workflow </w:t>
      </w:r>
    </w:p>
    <w:p w:rsidR="00000000" w:rsidRPr="003D6ACD" w:rsidP="003D6ACD">
      <w:pPr>
        <w:pStyle w:val="ListBullet2"/>
      </w:pPr>
      <w:r w:rsidRPr="003D6ACD">
        <w:t>interface requirements</w:t>
      </w:r>
    </w:p>
    <w:p w:rsidR="00000000" w:rsidRPr="003D6ACD" w:rsidP="003D6ACD">
      <w:pPr>
        <w:pStyle w:val="ListBullet2"/>
      </w:pPr>
      <w:r w:rsidRPr="003D6ACD">
        <w:t xml:space="preserve">data take-up methods </w:t>
      </w:r>
    </w:p>
    <w:p w:rsidR="00000000" w:rsidRPr="003D6ACD" w:rsidP="003D6ACD">
      <w:pPr>
        <w:pStyle w:val="ListBullet2"/>
      </w:pPr>
      <w:r w:rsidRPr="003D6ACD">
        <w:t xml:space="preserve">data conversion contingencies </w:t>
      </w:r>
    </w:p>
    <w:p w:rsidR="00000000" w:rsidRPr="003D6ACD" w:rsidP="003D6ACD">
      <w:pPr>
        <w:pStyle w:val="ListBullet"/>
      </w:pPr>
      <w:r w:rsidRPr="003D6ACD">
        <w:t xml:space="preserve">key features of cutover plans, including: </w:t>
      </w:r>
    </w:p>
    <w:p w:rsidR="00000000" w:rsidRPr="003D6ACD" w:rsidP="003D6ACD">
      <w:pPr>
        <w:pStyle w:val="ListBullet2"/>
      </w:pPr>
      <w:r w:rsidRPr="003D6ACD">
        <w:t xml:space="preserve">conversion windows </w:t>
      </w:r>
    </w:p>
    <w:p w:rsidR="00000000" w:rsidRPr="003D6ACD" w:rsidP="003D6ACD">
      <w:pPr>
        <w:pStyle w:val="ListBullet2"/>
      </w:pPr>
      <w:r w:rsidRPr="003D6ACD">
        <w:t xml:space="preserve">dependencies </w:t>
      </w:r>
    </w:p>
    <w:p w:rsidR="00000000" w:rsidRPr="003D6ACD" w:rsidP="003D6ACD">
      <w:pPr>
        <w:pStyle w:val="ListBullet"/>
      </w:pPr>
      <w:r w:rsidRPr="003D6ACD">
        <w:t xml:space="preserve">fall-back options data conversion workflow design, including considerations for: </w:t>
      </w:r>
    </w:p>
    <w:p w:rsidR="00000000" w:rsidRPr="003D6ACD" w:rsidP="003D6ACD">
      <w:pPr>
        <w:pStyle w:val="ListBullet2"/>
      </w:pPr>
      <w:r w:rsidRPr="003D6ACD">
        <w:t xml:space="preserve">data validation </w:t>
      </w:r>
    </w:p>
    <w:p w:rsidR="00000000" w:rsidRPr="003D6ACD" w:rsidP="003D6ACD">
      <w:pPr>
        <w:pStyle w:val="ListBullet2"/>
      </w:pPr>
      <w:r w:rsidRPr="003D6ACD">
        <w:t xml:space="preserve">data clean-up </w:t>
      </w:r>
    </w:p>
    <w:p w:rsidR="00000000" w:rsidRPr="003D6ACD" w:rsidP="003D6ACD">
      <w:pPr>
        <w:pStyle w:val="ListBullet2"/>
      </w:pPr>
      <w:r w:rsidRPr="003D6ACD">
        <w:t>data loading.</w:t>
      </w:r>
    </w:p>
    <w:p w:rsidR="00000000" w:rsidRPr="003D6ACD" w:rsidP="003D6ACD">
      <w:pPr>
        <w:pStyle w:val="AllowPageBreak"/>
      </w:pPr>
    </w:p>
    <w:p w:rsidR="00000000" w:rsidRPr="003D6ACD" w:rsidP="003D6ACD">
      <w:pPr>
        <w:pStyle w:val="Heading1"/>
      </w:pPr>
      <w:bookmarkStart w:id="11" w:name="O_1093073"/>
      <w:bookmarkEnd w:id="11"/>
      <w:r w:rsidRPr="003D6ACD">
        <w:t>Assessment Conditions</w:t>
      </w:r>
    </w:p>
    <w:p w:rsidR="00000000" w:rsidRPr="003D6ACD" w:rsidP="00206604">
      <w:pPr>
        <w:pStyle w:val="BodyText"/>
      </w:pPr>
      <w:r w:rsidRPr="003D6ACD">
        <w:t>Skills in this unit must be demonstrated in a workplace or simulated environment where the conditions are typical of those in a working environment in this industry.</w:t>
      </w:r>
    </w:p>
    <w:p w:rsidR="00000000" w:rsidRPr="003D6ACD" w:rsidP="00206604">
      <w:pPr>
        <w:pStyle w:val="BodyText"/>
      </w:pPr>
      <w:r w:rsidRPr="003D6ACD">
        <w:t>This includes access</w:t>
      </w:r>
      <w:r w:rsidRPr="003D6ACD">
        <w:t xml:space="preserve"> to:</w:t>
      </w:r>
    </w:p>
    <w:p w:rsidR="00000000" w:rsidRPr="003D6ACD" w:rsidP="003D6ACD">
      <w:pPr>
        <w:pStyle w:val="ListBullet"/>
      </w:pPr>
      <w:r w:rsidRPr="003D6ACD">
        <w:t>ICT specifications</w:t>
      </w:r>
    </w:p>
    <w:p w:rsidR="00000000" w:rsidRPr="003D6ACD" w:rsidP="003D6ACD">
      <w:pPr>
        <w:pStyle w:val="ListBullet"/>
      </w:pPr>
      <w:r w:rsidRPr="003D6ACD">
        <w:t>change management plan</w:t>
      </w:r>
    </w:p>
    <w:p w:rsidR="00000000" w:rsidRPr="003D6ACD" w:rsidP="003D6ACD">
      <w:pPr>
        <w:pStyle w:val="ListBullet"/>
      </w:pPr>
      <w:r w:rsidRPr="003D6ACD">
        <w:t>acceptance test plan</w:t>
      </w:r>
    </w:p>
    <w:p w:rsidR="00000000" w:rsidRPr="003D6ACD" w:rsidP="003D6ACD">
      <w:pPr>
        <w:pStyle w:val="ListBullet"/>
      </w:pPr>
      <w:r w:rsidRPr="003D6ACD">
        <w:t xml:space="preserve">system design </w:t>
      </w:r>
    </w:p>
    <w:p w:rsidR="00000000" w:rsidRPr="003D6ACD" w:rsidP="003D6ACD">
      <w:pPr>
        <w:pStyle w:val="ListBullet"/>
      </w:pPr>
      <w:r w:rsidRPr="003D6ACD">
        <w:t>ICT security assurance specifications.</w:t>
      </w:r>
    </w:p>
    <w:p w:rsidR="00000000" w:rsidRPr="003D6ACD" w:rsidP="003D6ACD">
      <w:pPr>
        <w:pStyle w:val="BodyText"/>
      </w:pPr>
    </w:p>
    <w:p w:rsidR="00000000" w:rsidRPr="003D6ACD" w:rsidP="00206604">
      <w:pPr>
        <w:pStyle w:val="BodyText"/>
      </w:pPr>
      <w:r w:rsidRPr="003D6ACD">
        <w:t>Assessors of this unit must satisfy the requirements for assessors in applicable vocational education and training legislation, frameworks and/or standards.</w:t>
      </w:r>
    </w:p>
    <w:p w:rsidR="00000000" w:rsidRPr="003D6ACD" w:rsidP="003D6ACD">
      <w:pPr>
        <w:pStyle w:val="Heading1"/>
      </w:pPr>
      <w:bookmarkStart w:id="12" w:name="O_1093071"/>
      <w:bookmarkEnd w:id="12"/>
      <w:r w:rsidRPr="003D6ACD">
        <w:t>Links</w:t>
      </w:r>
    </w:p>
    <w:p w:rsidR="00000000" w:rsidRPr="003D6ACD" w:rsidP="00206604">
      <w:pPr>
        <w:pStyle w:val="BodyText"/>
      </w:pPr>
      <w:r w:rsidRPr="003D6A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162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D6ACD" w:rsidP="003D6ACD"/>
    <w:sectPr w:rsidSect="003D6A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CD" w:rsidRPr="00206604" w:rsidP="002066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04" w:rsidP="003D6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604" w:rsidP="003D6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6604" w:rsidP="003D6A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CD" w:rsidP="003D6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6604">
      <w:t>Approved</w:t>
    </w:r>
    <w:r w:rsidR="002066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66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6604">
      <w:rPr>
        <w:noProof/>
      </w:rPr>
      <w:t>4</w:t>
    </w:r>
    <w:r>
      <w:rPr>
        <w:noProof/>
      </w:rPr>
      <w:fldChar w:fldCharType="end"/>
    </w:r>
  </w:p>
  <w:p w:rsidR="003D6ACD" w:rsidP="003D6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66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6604">
      <w:t>Future Skills Organisation</w:t>
    </w:r>
    <w:r w:rsidR="00206604">
      <w:fldChar w:fldCharType="end"/>
    </w:r>
  </w:p>
  <w:p w:rsidR="003D6ACD" w:rsidP="003D6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ACD" w:rsidRPr="00206604" w:rsidP="002066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604" w:rsidRPr="002D2AF8" w:rsidP="003D6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ICTICT520 Confirm transition strategy for new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6604" w:rsidP="003D6A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CD" w:rsidRPr="002D2AF8" w:rsidP="003D6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6604">
      <w:t>ICTICT520 Confirm transition strategy for new systems</w:t>
    </w:r>
    <w:r w:rsidR="002066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6604">
      <w:rPr>
        <w:noProof/>
      </w:rPr>
      <w:t>2 March 2025</w:t>
    </w:r>
    <w:r>
      <w:fldChar w:fldCharType="end"/>
    </w:r>
  </w:p>
  <w:p w:rsidR="003D6ACD" w:rsidP="003D6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867B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46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36C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ACD"/>
  </w:style>
  <w:style w:type="character" w:customStyle="1" w:styleId="Heading1Char">
    <w:name w:val="Heading 1 Char"/>
    <w:basedOn w:val="DefaultParagraphFont"/>
    <w:link w:val="Heading1"/>
    <w:rsid w:val="003D6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A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6A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6A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6ACD"/>
    <w:rPr>
      <w:b/>
      <w:spacing w:val="0"/>
    </w:rPr>
  </w:style>
  <w:style w:type="paragraph" w:styleId="ListBullet2">
    <w:name w:val="List Bullet 2"/>
    <w:basedOn w:val="List2"/>
    <w:rsid w:val="003D6A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6ACD"/>
    <w:rPr>
      <w:i/>
    </w:rPr>
  </w:style>
  <w:style w:type="paragraph" w:customStyle="1" w:styleId="SuperHeading">
    <w:name w:val="SuperHeading"/>
    <w:basedOn w:val="Normal"/>
    <w:rsid w:val="003D6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D6AC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D6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A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6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6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6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A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ACD"/>
  </w:style>
  <w:style w:type="paragraph" w:styleId="TableofFigures">
    <w:name w:val="table of figures"/>
    <w:basedOn w:val="Normal"/>
    <w:next w:val="Normal"/>
    <w:semiHidden/>
    <w:rsid w:val="003D6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A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6ACD"/>
    <w:rPr>
      <w:rFonts w:ascii="Wingdings" w:hAnsi="Wingdings"/>
    </w:rPr>
  </w:style>
  <w:style w:type="paragraph" w:customStyle="1" w:styleId="TableHeading">
    <w:name w:val="Table Heading"/>
    <w:basedOn w:val="HeadingBase"/>
    <w:rsid w:val="003D6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ACD"/>
    <w:rPr>
      <w:color w:val="0033CC"/>
      <w:u w:val="none"/>
    </w:rPr>
  </w:style>
  <w:style w:type="paragraph" w:customStyle="1" w:styleId="BodyTextRight">
    <w:name w:val="Body Text Right"/>
    <w:basedOn w:val="BodyText"/>
    <w:rsid w:val="003D6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A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ACD"/>
    <w:rPr>
      <w:sz w:val="32"/>
    </w:rPr>
  </w:style>
  <w:style w:type="paragraph" w:customStyle="1" w:styleId="HeadingProcedure">
    <w:name w:val="Heading Procedure"/>
    <w:basedOn w:val="HeadingBase"/>
    <w:next w:val="Normal"/>
    <w:rsid w:val="003D6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ACD"/>
    <w:pPr>
      <w:spacing w:before="60" w:after="60"/>
    </w:pPr>
  </w:style>
  <w:style w:type="paragraph" w:styleId="ListContinue">
    <w:name w:val="List Continue"/>
    <w:basedOn w:val="List"/>
    <w:rsid w:val="003D6ACD"/>
    <w:pPr>
      <w:ind w:firstLine="0"/>
    </w:pPr>
  </w:style>
  <w:style w:type="paragraph" w:customStyle="1" w:styleId="ListNote">
    <w:name w:val="List Note"/>
    <w:basedOn w:val="List"/>
    <w:rsid w:val="003D6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ACD"/>
    <w:rPr>
      <w:rFonts w:ascii="Courier New" w:hAnsi="Courier New"/>
    </w:rPr>
  </w:style>
  <w:style w:type="paragraph" w:customStyle="1" w:styleId="NoteBullet">
    <w:name w:val="Note Bullet"/>
    <w:basedOn w:val="Note"/>
    <w:rsid w:val="003D6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A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6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ACD"/>
    <w:rPr>
      <w:b/>
      <w:smallCaps/>
    </w:rPr>
  </w:style>
  <w:style w:type="paragraph" w:customStyle="1" w:styleId="TableListNumber">
    <w:name w:val="Table List Number"/>
    <w:basedOn w:val="ListNumber"/>
    <w:rsid w:val="003D6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ACD"/>
    <w:pPr>
      <w:numPr>
        <w:numId w:val="9"/>
      </w:numPr>
    </w:pPr>
  </w:style>
  <w:style w:type="paragraph" w:customStyle="1" w:styleId="ListAlpha2">
    <w:name w:val="List Alpha 2"/>
    <w:basedOn w:val="List2"/>
    <w:rsid w:val="003D6ACD"/>
    <w:pPr>
      <w:numPr>
        <w:numId w:val="8"/>
      </w:numPr>
    </w:pPr>
  </w:style>
  <w:style w:type="paragraph" w:styleId="List3">
    <w:name w:val="List 3"/>
    <w:basedOn w:val="BodyText"/>
    <w:rsid w:val="003D6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A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A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6ACD"/>
    <w:pPr>
      <w:numPr>
        <w:numId w:val="4"/>
      </w:numPr>
    </w:pPr>
  </w:style>
  <w:style w:type="paragraph" w:styleId="ListContinue2">
    <w:name w:val="List Continue 2"/>
    <w:basedOn w:val="List2"/>
    <w:rsid w:val="003D6ACD"/>
    <w:pPr>
      <w:ind w:firstLine="0"/>
    </w:pPr>
  </w:style>
  <w:style w:type="paragraph" w:styleId="ListContinue3">
    <w:name w:val="List Continue 3"/>
    <w:basedOn w:val="List3"/>
    <w:rsid w:val="003D6ACD"/>
    <w:pPr>
      <w:ind w:left="1021" w:firstLine="0"/>
    </w:pPr>
  </w:style>
  <w:style w:type="paragraph" w:styleId="ListContinue4">
    <w:name w:val="List Continue 4"/>
    <w:basedOn w:val="List4"/>
    <w:rsid w:val="003D6ACD"/>
    <w:pPr>
      <w:ind w:firstLine="0"/>
    </w:pPr>
  </w:style>
  <w:style w:type="paragraph" w:styleId="ListContinue5">
    <w:name w:val="List Continue 5"/>
    <w:basedOn w:val="List5"/>
    <w:rsid w:val="003D6ACD"/>
    <w:pPr>
      <w:ind w:firstLine="0"/>
    </w:pPr>
  </w:style>
  <w:style w:type="paragraph" w:styleId="ListNumber3">
    <w:name w:val="List Number 3"/>
    <w:basedOn w:val="List3"/>
    <w:rsid w:val="003D6ACD"/>
    <w:pPr>
      <w:numPr>
        <w:numId w:val="5"/>
      </w:numPr>
    </w:pPr>
  </w:style>
  <w:style w:type="paragraph" w:styleId="ListNumber4">
    <w:name w:val="List Number 4"/>
    <w:basedOn w:val="List4"/>
    <w:rsid w:val="003D6ACD"/>
    <w:pPr>
      <w:numPr>
        <w:numId w:val="6"/>
      </w:numPr>
    </w:pPr>
  </w:style>
  <w:style w:type="paragraph" w:styleId="ListNumber5">
    <w:name w:val="List Number 5"/>
    <w:basedOn w:val="List5"/>
    <w:rsid w:val="003D6ACD"/>
    <w:pPr>
      <w:numPr>
        <w:numId w:val="7"/>
      </w:numPr>
    </w:pPr>
  </w:style>
  <w:style w:type="paragraph" w:styleId="BlockText">
    <w:name w:val="Block Text"/>
    <w:basedOn w:val="Normal"/>
    <w:rsid w:val="003D6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ACD"/>
    <w:rPr>
      <w:sz w:val="16"/>
      <w:vertAlign w:val="superscript"/>
    </w:rPr>
  </w:style>
  <w:style w:type="character" w:customStyle="1" w:styleId="Symbols">
    <w:name w:val="Symbols"/>
    <w:basedOn w:val="DefaultParagraphFont"/>
    <w:rsid w:val="003D6ACD"/>
    <w:rPr>
      <w:rFonts w:ascii="Symbol" w:hAnsi="Symbol"/>
    </w:rPr>
  </w:style>
  <w:style w:type="character" w:customStyle="1" w:styleId="MenuOptions">
    <w:name w:val="Menu Options"/>
    <w:basedOn w:val="DefaultParagraphFont"/>
    <w:rsid w:val="003D6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ACD"/>
    <w:rPr>
      <w:b/>
    </w:rPr>
  </w:style>
  <w:style w:type="character" w:customStyle="1" w:styleId="Underlined">
    <w:name w:val="Underlined"/>
    <w:basedOn w:val="DefaultParagraphFont"/>
    <w:rsid w:val="003D6ACD"/>
    <w:rPr>
      <w:u w:val="single"/>
    </w:rPr>
  </w:style>
  <w:style w:type="paragraph" w:customStyle="1" w:styleId="TableBodyTextRight">
    <w:name w:val="Table Body Text Right"/>
    <w:basedOn w:val="TableBodyText"/>
    <w:rsid w:val="003D6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ACD"/>
    <w:rPr>
      <w:sz w:val="18"/>
    </w:rPr>
  </w:style>
  <w:style w:type="paragraph" w:customStyle="1" w:styleId="BodySmallRight">
    <w:name w:val="Body Small Right"/>
    <w:basedOn w:val="BodyTextRight"/>
    <w:rsid w:val="003D6ACD"/>
    <w:rPr>
      <w:sz w:val="18"/>
      <w:szCs w:val="18"/>
    </w:rPr>
  </w:style>
  <w:style w:type="paragraph" w:customStyle="1" w:styleId="MarginEdition">
    <w:name w:val="Margin Edition"/>
    <w:basedOn w:val="MarginNote"/>
    <w:rsid w:val="003D6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ACD"/>
    <w:rPr>
      <w:sz w:val="2"/>
      <w:szCs w:val="2"/>
    </w:rPr>
  </w:style>
  <w:style w:type="character" w:customStyle="1" w:styleId="Small">
    <w:name w:val="Small"/>
    <w:basedOn w:val="DefaultParagraphFont"/>
    <w:rsid w:val="003D6ACD"/>
    <w:rPr>
      <w:sz w:val="16"/>
    </w:rPr>
  </w:style>
  <w:style w:type="paragraph" w:customStyle="1" w:styleId="WideTable">
    <w:name w:val="Wide Table"/>
    <w:basedOn w:val="Normal"/>
    <w:rsid w:val="003D6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ACD"/>
  </w:style>
  <w:style w:type="paragraph" w:styleId="Quote">
    <w:name w:val="Quote"/>
    <w:basedOn w:val="Heading1"/>
    <w:link w:val="QuoteChar"/>
    <w:qFormat/>
    <w:rsid w:val="003D6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ACD"/>
    <w:pPr>
      <w:pageBreakBefore/>
    </w:pPr>
  </w:style>
  <w:style w:type="paragraph" w:customStyle="1" w:styleId="Border">
    <w:name w:val="Border"/>
    <w:basedOn w:val="Normal"/>
    <w:qFormat/>
    <w:rsid w:val="003D6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ACD"/>
    <w:rPr>
      <w:u w:val="single"/>
    </w:rPr>
  </w:style>
  <w:style w:type="character" w:customStyle="1" w:styleId="BoldandItalics">
    <w:name w:val="Bold and Italics"/>
    <w:qFormat/>
    <w:rsid w:val="003D6ACD"/>
    <w:rPr>
      <w:b/>
      <w:i/>
      <w:u w:val="none"/>
    </w:rPr>
  </w:style>
  <w:style w:type="paragraph" w:styleId="BalloonText">
    <w:name w:val="Balloon Text"/>
    <w:basedOn w:val="Normal"/>
    <w:link w:val="BalloonTextChar"/>
    <w:rsid w:val="003D6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ACD"/>
    <w:pPr>
      <w:spacing w:before="0" w:after="0"/>
    </w:pPr>
  </w:style>
  <w:style w:type="paragraph" w:customStyle="1" w:styleId="BodyTextBold">
    <w:name w:val="Body Text Bold"/>
    <w:basedOn w:val="BodyText"/>
    <w:qFormat/>
    <w:rsid w:val="003D6ACD"/>
    <w:rPr>
      <w:b/>
    </w:rPr>
  </w:style>
  <w:style w:type="character" w:styleId="Hyperlink">
    <w:name w:val="Hyperlink"/>
    <w:basedOn w:val="DefaultParagraphFont"/>
    <w:uiPriority w:val="99"/>
    <w:unhideWhenUsed/>
    <w:rsid w:val="002066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5485</Characters>
  <Application>Microsoft Office Word</Application>
  <DocSecurity>0</DocSecurity>
  <Lines>176</Lines>
  <Paragraphs>123</Paragraphs>
  <ScaleCrop>false</ScaleCrop>
  <Company>Author-it Software Corporation Ltd.</Company>
  <LinksUpToDate>false</LinksUpToDate>
  <CharactersWithSpaces>6193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ICTICT520 Confirm transition strategy for new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