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1FB" w:rsidP="00DB4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ICTGAM529 Analyse business opportunities in the digital games environment</w:t>
      </w:r>
      <w:r>
        <w:fldChar w:fldCharType="end"/>
      </w:r>
    </w:p>
    <w:p w:rsidR="00DB41FB" w:rsidP="00DB41FB">
      <w:pPr>
        <w:pStyle w:val="Version"/>
        <w:sectPr w:rsidSect="00A14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C37" w:rsidP="00A14C37">
      <w:pPr>
        <w:pStyle w:val="SuperHeading"/>
      </w:pPr>
      <w:r w:rsidRPr="00A14C37">
        <w:t>ICTGAM529 Analyse business opportunities in the digital games environment</w:t>
      </w:r>
    </w:p>
    <w:p w:rsidR="00000000" w:rsidRPr="00A14C37" w:rsidP="00A14C37">
      <w:pPr>
        <w:pStyle w:val="Heading1"/>
      </w:pPr>
      <w:bookmarkStart w:id="1" w:name="O_678718"/>
      <w:bookmarkEnd w:id="1"/>
      <w:r w:rsidRPr="00A14C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4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rPr>
                <w:rStyle w:val="SpecialBold"/>
              </w:rPr>
              <w:t>Comments</w:t>
            </w:r>
          </w:p>
        </w:tc>
      </w:tr>
      <w:tr w:rsidTr="00A14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t>This version first released with ICT Information and Communications Technology Training Package Version 1.0.</w:t>
            </w:r>
          </w:p>
        </w:tc>
      </w:tr>
    </w:tbl>
    <w:p w:rsidR="00000000" w:rsidRPr="00A14C37" w:rsidP="00A14C37">
      <w:pPr>
        <w:pStyle w:val="BodyText"/>
      </w:pPr>
    </w:p>
    <w:p w:rsidR="00000000" w:rsidRPr="00A14C37" w:rsidP="00A14C37">
      <w:pPr>
        <w:pStyle w:val="AllowPageBreak"/>
      </w:pPr>
    </w:p>
    <w:p w:rsidR="00000000" w:rsidRPr="00A14C37" w:rsidP="00A14C37">
      <w:pPr>
        <w:pStyle w:val="Heading1"/>
      </w:pPr>
      <w:bookmarkStart w:id="2" w:name="O_678719"/>
      <w:bookmarkEnd w:id="2"/>
      <w:r w:rsidRPr="00A14C37">
        <w:t>Application</w:t>
      </w:r>
    </w:p>
    <w:p w:rsidR="00000000" w:rsidRPr="00A14C37" w:rsidP="00DB41FB">
      <w:pPr>
        <w:pStyle w:val="BodyText"/>
      </w:pPr>
      <w:r w:rsidRPr="00A14C37">
        <w:t>This unit describes the skills and knowledge required to research the current digital games climate and analyse business opportunities.</w:t>
      </w:r>
    </w:p>
    <w:p w:rsidR="00000000" w:rsidRPr="00A14C37" w:rsidP="00DB41FB">
      <w:pPr>
        <w:pStyle w:val="BodyText"/>
      </w:pPr>
      <w:r w:rsidRPr="00A14C37">
        <w:t>It applies to individuals with high-level technical, creative and communication skills work</w:t>
      </w:r>
      <w:r w:rsidRPr="00A14C37">
        <w:t>ing as concept artists, games designers, games programmers, animators and other personnel working in the game development industry.</w:t>
      </w:r>
    </w:p>
    <w:p w:rsidR="00000000" w:rsidRPr="00A14C37" w:rsidP="00DB41FB">
      <w:pPr>
        <w:pStyle w:val="BodyText"/>
      </w:pPr>
      <w:r w:rsidRPr="00A14C37">
        <w:t>No licensing, legislative or certification requirements apply to this unit at the time of publication.</w:t>
      </w:r>
    </w:p>
    <w:p w:rsidR="00000000" w:rsidRPr="00A14C37" w:rsidP="00A14C37">
      <w:pPr>
        <w:pStyle w:val="Heading1"/>
      </w:pPr>
      <w:bookmarkStart w:id="3" w:name="O_678722"/>
      <w:bookmarkEnd w:id="3"/>
      <w:r w:rsidRPr="00A14C37">
        <w:t>Uni</w:t>
      </w:r>
      <w:r w:rsidRPr="00A14C37">
        <w:t>t Sector</w:t>
      </w:r>
    </w:p>
    <w:p w:rsidR="00000000" w:rsidRPr="00A14C37" w:rsidP="00DB41FB">
      <w:pPr>
        <w:pStyle w:val="BodyText"/>
      </w:pPr>
      <w:r w:rsidRPr="00A14C37">
        <w:t>Game development</w:t>
      </w:r>
    </w:p>
    <w:p w:rsidR="00000000" w:rsidRPr="00A14C37" w:rsidP="00A14C37">
      <w:pPr>
        <w:pStyle w:val="Heading1"/>
      </w:pPr>
      <w:bookmarkStart w:id="4" w:name="O_678723"/>
      <w:bookmarkEnd w:id="4"/>
      <w:r w:rsidRPr="00A14C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4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rPr>
                <w:rStyle w:val="SpecialBold"/>
              </w:rPr>
              <w:t>PERFORMANCE CRITERIA</w:t>
            </w:r>
          </w:p>
        </w:tc>
      </w:tr>
      <w:tr w:rsidTr="00A14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4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1. Determine the Australian digital games industry and development companies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t>1.1 Identify both large and small organisations in the Australian digital games industry</w:t>
            </w:r>
          </w:p>
          <w:p w:rsidR="00000000" w:rsidRPr="00A14C37" w:rsidP="00A14C37">
            <w:pPr>
              <w:pStyle w:val="BodyText"/>
            </w:pPr>
            <w:r w:rsidRPr="00A14C37">
              <w:t>1.2 Identify recent projects undertaken by small and large organisations in the Australian</w:t>
            </w:r>
            <w:r w:rsidRPr="00A14C37">
              <w:t xml:space="preserve"> digital games industry</w:t>
            </w:r>
          </w:p>
          <w:p w:rsidR="00000000" w:rsidRPr="00A14C37" w:rsidP="00A14C37">
            <w:pPr>
              <w:pStyle w:val="BodyText"/>
            </w:pPr>
            <w:r w:rsidRPr="00A14C37">
              <w:t>1.3 Identify the resources required for the production of a digital game in a small business environment</w:t>
            </w:r>
          </w:p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1.4 Determine the process of subcontracting various production elements to other small businesses</w:t>
            </w:r>
          </w:p>
        </w:tc>
      </w:tr>
      <w:tr w:rsidTr="00A14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2. Determine the structure of a game</w:t>
            </w:r>
            <w:r w:rsidRPr="00A14C37">
              <w:noBreakHyphen/>
              <w:t>development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t>2.1 Identify the roles of engineers, artists, game designers, producers and additional staff</w:t>
            </w:r>
          </w:p>
          <w:p w:rsidR="00000000" w:rsidRPr="00A14C37" w:rsidP="00A14C37">
            <w:pPr>
              <w:pStyle w:val="BodyText"/>
            </w:pPr>
            <w:r w:rsidRPr="00A14C37">
              <w:t>2.2 Identify the skills required to occupy each role in a game development team</w:t>
            </w:r>
          </w:p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2.3 Determine the interaction</w:t>
            </w:r>
            <w:r w:rsidRPr="00A14C37">
              <w:t xml:space="preserve"> and collaboration between these roles</w:t>
            </w:r>
          </w:p>
        </w:tc>
      </w:tr>
      <w:tr w:rsidTr="00A14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3. Investigate the process of starting an independent game development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t>3.1 Identify the major factors involved in starting a small business in the digital games industry</w:t>
            </w:r>
          </w:p>
          <w:p w:rsidR="00000000" w:rsidRPr="00A14C37" w:rsidP="00A14C37">
            <w:pPr>
              <w:pStyle w:val="BodyText"/>
            </w:pPr>
            <w:r w:rsidRPr="00A14C37">
              <w:t xml:space="preserve">3.2 Identify the legal requirements, </w:t>
            </w:r>
            <w:r w:rsidRPr="00A14C37">
              <w:t>environmental impact and sustainability considerations, and financial management of operating a small business</w:t>
            </w:r>
          </w:p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3.3 Identify the legal protection of the small business operator and dissolution procedures for a small business</w:t>
            </w:r>
          </w:p>
        </w:tc>
      </w:tr>
      <w:tr w:rsidTr="00A14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4. Evaluate the role of the Aus</w:t>
            </w:r>
            <w:r w:rsidRPr="00A14C37">
              <w:t>tralian government and other organisations related to digital game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t>4.1 Identify the role of the Australian government and other organisations affecting the digital games industry</w:t>
            </w:r>
          </w:p>
          <w:p w:rsidR="00000000" w:rsidRPr="00A14C37" w:rsidP="00A14C37">
            <w:pPr>
              <w:pStyle w:val="BodyText"/>
            </w:pPr>
            <w:r w:rsidRPr="00A14C37">
              <w:t>4.2 Identify the influence of the Australian government in game pr</w:t>
            </w:r>
            <w:r w:rsidRPr="00A14C37">
              <w:t>oduction and marketing</w:t>
            </w:r>
          </w:p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4.3 Determine the effect of rating standards on digital game production and marketing</w:t>
            </w:r>
          </w:p>
        </w:tc>
      </w:tr>
      <w:tr w:rsidTr="00A14C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5. Review copyright and intellectual property laws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t>5.1 Determine copyright and intellectual property laws related to digital game development</w:t>
            </w:r>
          </w:p>
          <w:p w:rsidR="00000000" w:rsidRPr="00A14C37" w:rsidP="00A14C37">
            <w:pPr>
              <w:pStyle w:val="BodyText"/>
            </w:pPr>
            <w:r w:rsidRPr="00A14C37">
              <w:t xml:space="preserve">5.2 </w:t>
            </w:r>
            <w:r w:rsidRPr="00A14C37">
              <w:t>Undertake a review of the current state of national and international copyright pertaining to digital game assets</w:t>
            </w:r>
          </w:p>
          <w:p w:rsidR="00000000" w:rsidRPr="00A14C37" w:rsidP="00A14C37">
            <w:pPr>
              <w:pStyle w:val="BodyText"/>
            </w:pPr>
            <w:r w:rsidRPr="00A14C37">
              <w:t>5.3 Incorporate the conventions of copyright related to the production of a digital game project</w:t>
            </w:r>
          </w:p>
        </w:tc>
      </w:tr>
    </w:tbl>
    <w:p w:rsidR="00000000" w:rsidRPr="00A14C37" w:rsidP="00A14C37">
      <w:pPr>
        <w:pStyle w:val="BodyText"/>
      </w:pPr>
    </w:p>
    <w:p w:rsidR="00000000" w:rsidRPr="00A14C37" w:rsidP="00A14C37">
      <w:pPr>
        <w:pStyle w:val="AllowPageBreak"/>
      </w:pPr>
    </w:p>
    <w:p w:rsidR="00000000" w:rsidRPr="00A14C37" w:rsidP="00A14C37">
      <w:pPr>
        <w:pStyle w:val="Heading1"/>
      </w:pPr>
      <w:bookmarkStart w:id="5" w:name="O_678724"/>
      <w:bookmarkEnd w:id="5"/>
      <w:r w:rsidRPr="00A14C37">
        <w:t>Foundation Skills</w:t>
      </w:r>
    </w:p>
    <w:p w:rsidR="00000000" w:rsidRPr="00DB41FB" w:rsidP="00DB41FB">
      <w:pPr>
        <w:pStyle w:val="BodyText"/>
        <w:rPr>
          <w:i/>
        </w:rPr>
      </w:pPr>
      <w:r w:rsidRPr="00DB41F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3"/>
        <w:gridCol w:w="5850"/>
      </w:tblGrid>
      <w:tr w:rsidTr="00A14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Performance Criteria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rPr>
                <w:rStyle w:val="SpecialBold"/>
              </w:rPr>
              <w:t>Description</w:t>
            </w:r>
          </w:p>
        </w:tc>
      </w:tr>
      <w:tr w:rsidTr="00A14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 xml:space="preserve">1.1-1.3, 2.1, 2.2, 3.1-3.3, 4.1, 4.2, 4.3, 5.1, </w:t>
            </w:r>
            <w:r w:rsidRPr="00A14C37">
              <w:t>5.2, 5.3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ListBullet"/>
              <w:rPr>
                <w:lang w:val="en-NZ"/>
              </w:rPr>
            </w:pPr>
            <w:r w:rsidRPr="00A14C37">
              <w:t>Interprets, analyses and comprehends information from a range of relatively complex sources, including legislation</w:t>
            </w:r>
          </w:p>
        </w:tc>
      </w:tr>
      <w:tr w:rsidTr="00A14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1.1-1.3, 2.1, 2.2, 3.1-3.3, 4.1, 4.2, 5.2, 5.3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ListBullet"/>
              <w:rPr>
                <w:lang w:val="en-NZ"/>
              </w:rPr>
            </w:pPr>
            <w:r w:rsidRPr="00A14C37">
              <w:t>Documents results of research, analysis and reviews to inform analysis of business opportunities and requirements</w:t>
            </w:r>
          </w:p>
        </w:tc>
      </w:tr>
      <w:tr w:rsidTr="00A14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1.3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ListBullet"/>
              <w:rPr>
                <w:lang w:val="en-NZ"/>
              </w:rPr>
            </w:pPr>
            <w:r w:rsidRPr="00A14C37">
              <w:t>Analyses the budgetary requirements for the creation of a digital game in a small business environment</w:t>
            </w:r>
          </w:p>
        </w:tc>
      </w:tr>
      <w:tr w:rsidTr="00A14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Navigate the world of w</w:t>
            </w:r>
            <w:r w:rsidRPr="00A14C37">
              <w:t>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3.2, 3.3, 5.1, 5.2, 5.3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4C37">
            <w:pPr>
              <w:pStyle w:val="ListBullet"/>
              <w:rPr>
                <w:lang w:val="en-NZ"/>
              </w:rPr>
            </w:pPr>
            <w:r w:rsidRPr="00A14C37">
              <w:t>Identifies, confirms and incorporates legislative requirements of business operations</w:t>
            </w:r>
          </w:p>
        </w:tc>
      </w:tr>
      <w:tr w:rsidTr="00A14C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1.4, 2.2, 2.3, 4.3, 5.1, 5.2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4C37" w:rsidP="00A14C37">
            <w:pPr>
              <w:pStyle w:val="ListBullet"/>
            </w:pPr>
            <w:r w:rsidRPr="00A14C37">
              <w:t>Systematically plans tasks to gather required information to build understanding of the digital games environment</w:t>
            </w:r>
          </w:p>
          <w:p w:rsidR="00000000" w:rsidRPr="00A14C37" w:rsidP="00A14C37">
            <w:pPr>
              <w:pStyle w:val="ListBullet"/>
            </w:pPr>
            <w:r w:rsidRPr="00A14C37">
              <w:t>Makes critical decisions in complex situations, taking a range of variables into consideration</w:t>
            </w:r>
          </w:p>
          <w:p w:rsidR="00000000" w:rsidRPr="00A14C37" w:rsidP="00A14C37">
            <w:pPr>
              <w:pStyle w:val="ListBullet"/>
            </w:pPr>
            <w:r w:rsidRPr="00A14C37">
              <w:t>Investigates new and innovative ideas as a mean</w:t>
            </w:r>
            <w:r w:rsidRPr="00A14C37">
              <w:t>s to identify business opportunities</w:t>
            </w:r>
          </w:p>
        </w:tc>
      </w:tr>
    </w:tbl>
    <w:p w:rsidR="00000000" w:rsidRPr="00A14C37" w:rsidP="00A14C37">
      <w:pPr>
        <w:pStyle w:val="BodyText"/>
      </w:pPr>
    </w:p>
    <w:p w:rsidR="00000000" w:rsidRPr="00A14C37" w:rsidP="00A14C37">
      <w:pPr>
        <w:pStyle w:val="AllowPageBreak"/>
      </w:pPr>
    </w:p>
    <w:p w:rsidR="00000000" w:rsidRPr="00A14C37" w:rsidP="00A14C37">
      <w:pPr>
        <w:pStyle w:val="Heading1"/>
      </w:pPr>
      <w:bookmarkStart w:id="6" w:name="O_678726"/>
      <w:bookmarkEnd w:id="6"/>
      <w:r w:rsidRPr="00A14C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14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Code and title</w:t>
            </w:r>
          </w:p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Code and title</w:t>
            </w:r>
          </w:p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rPr>
                <w:rStyle w:val="SpecialBold"/>
              </w:rPr>
              <w:t>Equivalence status</w:t>
            </w:r>
          </w:p>
        </w:tc>
      </w:tr>
      <w:tr w:rsidTr="00A14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ICTGAM529 Analyse business opportunities in the digital games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ICAGAM529A Analyse business opportunities in the digital games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t>Equivalent unit</w:t>
            </w:r>
          </w:p>
        </w:tc>
      </w:tr>
    </w:tbl>
    <w:p w:rsidR="00000000" w:rsidRPr="00A14C37" w:rsidP="00A14C37">
      <w:pPr>
        <w:pStyle w:val="BodyText"/>
      </w:pPr>
    </w:p>
    <w:p w:rsidR="00000000" w:rsidRPr="00A14C37" w:rsidP="00A14C37">
      <w:pPr>
        <w:pStyle w:val="AllowPageBreak"/>
      </w:pPr>
    </w:p>
    <w:p w:rsidR="00000000" w:rsidRPr="00A14C37" w:rsidP="00A14C37">
      <w:pPr>
        <w:pStyle w:val="Heading1"/>
      </w:pPr>
      <w:bookmarkStart w:id="7" w:name="O_678733"/>
      <w:bookmarkEnd w:id="7"/>
      <w:r w:rsidRPr="00A14C37">
        <w:t>Links</w:t>
      </w:r>
    </w:p>
    <w:p w:rsidR="00000000" w:rsidRPr="00A14C37" w:rsidP="00DB41FB">
      <w:pPr>
        <w:pStyle w:val="BodyText"/>
      </w:pPr>
      <w:r w:rsidRPr="00A14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5C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14C37" w:rsidP="00DB41FB">
      <w:pPr>
        <w:pStyle w:val="BodyText"/>
        <w:sectPr w:rsidSect="00A14C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4C37" w:rsidP="00A14C37">
      <w:pPr>
        <w:pStyle w:val="SuperHeading"/>
      </w:pPr>
      <w:r w:rsidRPr="00A14C37">
        <w:t>Assessment Requirements for ICTGAM529 Analyse business opportunities in the digital games environment</w:t>
      </w:r>
    </w:p>
    <w:p w:rsidR="00000000" w:rsidRPr="00A14C37" w:rsidP="00A14C37">
      <w:pPr>
        <w:pStyle w:val="Heading1"/>
      </w:pPr>
      <w:bookmarkStart w:id="8" w:name="O_678728"/>
      <w:bookmarkEnd w:id="8"/>
      <w:r w:rsidRPr="00A14C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4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rPr>
                <w:rStyle w:val="SpecialBold"/>
              </w:rPr>
              <w:t>Comments</w:t>
            </w:r>
          </w:p>
        </w:tc>
      </w:tr>
      <w:tr w:rsidTr="00A14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C37">
            <w:pPr>
              <w:pStyle w:val="BodyText"/>
              <w:rPr>
                <w:lang w:val="en-NZ"/>
              </w:rPr>
            </w:pPr>
            <w:r w:rsidRPr="00A14C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C37" w:rsidP="00A14C37">
            <w:pPr>
              <w:pStyle w:val="BodyText"/>
            </w:pPr>
            <w:r w:rsidRPr="00A14C37">
              <w:t>This version first released with ICT Information and Communications Technology Training Package Version 1.0.</w:t>
            </w:r>
          </w:p>
        </w:tc>
      </w:tr>
    </w:tbl>
    <w:p w:rsidR="00000000" w:rsidRPr="00A14C37" w:rsidP="00A14C37">
      <w:pPr>
        <w:pStyle w:val="BodyText"/>
      </w:pPr>
    </w:p>
    <w:p w:rsidR="00000000" w:rsidRPr="00A14C37" w:rsidP="00A14C37">
      <w:pPr>
        <w:pStyle w:val="AllowPageBreak"/>
      </w:pPr>
    </w:p>
    <w:p w:rsidR="00000000" w:rsidRPr="00A14C37" w:rsidP="00A14C37">
      <w:pPr>
        <w:pStyle w:val="Heading1"/>
      </w:pPr>
      <w:bookmarkStart w:id="9" w:name="O_678729"/>
      <w:bookmarkEnd w:id="9"/>
      <w:r w:rsidRPr="00A14C37">
        <w:t>Performance Evidence</w:t>
      </w:r>
    </w:p>
    <w:p w:rsidR="00000000" w:rsidRPr="00A14C37" w:rsidP="00DB41FB">
      <w:pPr>
        <w:pStyle w:val="BodyText"/>
      </w:pPr>
      <w:r w:rsidRPr="00A14C37">
        <w:t>Evidence of the ability to:</w:t>
      </w:r>
    </w:p>
    <w:p w:rsidR="00000000" w:rsidRPr="00A14C37" w:rsidP="00A14C37">
      <w:pPr>
        <w:pStyle w:val="ListBullet"/>
      </w:pPr>
      <w:r w:rsidRPr="00A14C37">
        <w:t>research the key organisations and types of projects undertaken in</w:t>
      </w:r>
      <w:r w:rsidRPr="00A14C37">
        <w:t xml:space="preserve"> the Australian digital games industry</w:t>
      </w:r>
    </w:p>
    <w:p w:rsidR="00000000" w:rsidRPr="00A14C37" w:rsidP="00A14C37">
      <w:pPr>
        <w:pStyle w:val="ListBullet"/>
      </w:pPr>
      <w:r w:rsidRPr="00A14C37">
        <w:t>document the resources, roles and skills requirements of a games development team, and the interaction required between team members</w:t>
      </w:r>
    </w:p>
    <w:p w:rsidR="00000000" w:rsidRPr="00A14C37" w:rsidP="00A14C37">
      <w:pPr>
        <w:pStyle w:val="ListBullet"/>
      </w:pPr>
      <w:r w:rsidRPr="00A14C37">
        <w:t>research and document the main factors to consider for starting up and operating a small business in the digital games industry, including legal, government, environmental and financial considerations.</w:t>
      </w:r>
    </w:p>
    <w:p w:rsidR="00000000" w:rsidRPr="00A14C37" w:rsidP="00A14C37">
      <w:pPr>
        <w:pStyle w:val="BodyText"/>
      </w:pPr>
    </w:p>
    <w:p w:rsidR="00DB41FB" w:rsidP="00DB41FB">
      <w:pPr>
        <w:pStyle w:val="BodyText"/>
      </w:pPr>
      <w:r w:rsidRPr="00A14C37">
        <w:t>Note: If a specific volume or frequency is not stated</w:t>
      </w:r>
      <w:r w:rsidRPr="00A14C37">
        <w:t>, then evidence must be provided at least once.</w:t>
      </w:r>
    </w:p>
    <w:p w:rsidR="00000000" w:rsidRPr="00A14C37" w:rsidP="00A14C37">
      <w:pPr>
        <w:pStyle w:val="Heading1"/>
      </w:pPr>
      <w:bookmarkStart w:id="10" w:name="O_678730"/>
      <w:bookmarkEnd w:id="10"/>
      <w:r w:rsidRPr="00A14C37">
        <w:t>Knowledge Evidence</w:t>
      </w:r>
    </w:p>
    <w:p w:rsidR="00000000" w:rsidRPr="00A14C37" w:rsidP="00DB41FB">
      <w:pPr>
        <w:pStyle w:val="BodyText"/>
      </w:pPr>
      <w:r w:rsidRPr="00A14C37">
        <w:t>To complete the unit requirements safely and effectively, the individual must:</w:t>
      </w:r>
    </w:p>
    <w:p w:rsidR="00000000" w:rsidRPr="00A14C37" w:rsidP="00A14C37">
      <w:pPr>
        <w:pStyle w:val="ListBullet"/>
      </w:pPr>
      <w:r w:rsidRPr="00A14C37">
        <w:t>explain sources of information about the Australian digital games industry</w:t>
      </w:r>
    </w:p>
    <w:p w:rsidR="00000000" w:rsidRPr="00A14C37" w:rsidP="00A14C37">
      <w:pPr>
        <w:pStyle w:val="ListBullet"/>
      </w:pPr>
      <w:r w:rsidRPr="00A14C37">
        <w:t>explain the proc</w:t>
      </w:r>
      <w:r w:rsidRPr="00A14C37">
        <w:t>ess of subcontracting</w:t>
      </w:r>
    </w:p>
    <w:p w:rsidR="00000000" w:rsidRPr="00A14C37" w:rsidP="00A14C37">
      <w:pPr>
        <w:pStyle w:val="ListBullet"/>
      </w:pPr>
      <w:r w:rsidRPr="00A14C37">
        <w:t>explain various methods that could be used to allow interaction and collaboration between different members of a development team</w:t>
      </w:r>
    </w:p>
    <w:p w:rsidR="00000000" w:rsidRPr="00A14C37" w:rsidP="00A14C37">
      <w:pPr>
        <w:pStyle w:val="ListBullet"/>
      </w:pPr>
      <w:r w:rsidRPr="00A14C37">
        <w:t>explain how rating standards affect digital game production and marketing</w:t>
      </w:r>
    </w:p>
    <w:p w:rsidR="00000000" w:rsidRPr="00A14C37" w:rsidP="00A14C37">
      <w:pPr>
        <w:pStyle w:val="ListBullet"/>
      </w:pPr>
      <w:r w:rsidRPr="00A14C37">
        <w:t>explain risk and critical-path</w:t>
      </w:r>
      <w:r w:rsidRPr="00A14C37">
        <w:t xml:space="preserve"> management</w:t>
      </w:r>
    </w:p>
    <w:p w:rsidR="00000000" w:rsidRPr="00A14C37" w:rsidP="00A14C37">
      <w:pPr>
        <w:pStyle w:val="ListBullet"/>
      </w:pPr>
      <w:r w:rsidRPr="00A14C37">
        <w:t>outline copyright and intellectual property laws as they pertain to the development of digital games.</w:t>
      </w:r>
    </w:p>
    <w:p w:rsidR="00000000" w:rsidRPr="00A14C37" w:rsidP="00A14C37">
      <w:pPr>
        <w:pStyle w:val="AllowPageBreak"/>
      </w:pPr>
    </w:p>
    <w:p w:rsidR="00000000" w:rsidRPr="00A14C37" w:rsidP="00A14C37">
      <w:pPr>
        <w:pStyle w:val="Heading1"/>
      </w:pPr>
      <w:bookmarkStart w:id="11" w:name="O_678731"/>
      <w:bookmarkEnd w:id="11"/>
      <w:r w:rsidRPr="00A14C37">
        <w:t>Assessment Conditions</w:t>
      </w:r>
    </w:p>
    <w:p w:rsidR="00000000" w:rsidRPr="00A14C37" w:rsidP="00DB41FB">
      <w:pPr>
        <w:pStyle w:val="BodyText"/>
      </w:pPr>
      <w:r w:rsidRPr="00A14C37">
        <w:t>Gather evidence to demonstrate consistent performance in conditions that are safe and replicate the wor</w:t>
      </w:r>
      <w:r w:rsidRPr="00A14C37">
        <w:t>kplace. Noise levels, production flow, interruptions and time variances must be typical of those experienced in the game development field of work, and include access to:</w:t>
      </w:r>
    </w:p>
    <w:p w:rsidR="00000000" w:rsidRPr="00A14C37" w:rsidP="00A14C37">
      <w:pPr>
        <w:pStyle w:val="ListBullet"/>
      </w:pPr>
      <w:r w:rsidRPr="00A14C37">
        <w:t>computer hardware and software</w:t>
      </w:r>
    </w:p>
    <w:p w:rsidR="00000000" w:rsidRPr="00A14C37" w:rsidP="00A14C37">
      <w:pPr>
        <w:pStyle w:val="ListBullet"/>
      </w:pPr>
      <w:r w:rsidRPr="00A14C37">
        <w:t>games engines</w:t>
      </w:r>
    </w:p>
    <w:p w:rsidR="00000000" w:rsidRPr="00A14C37" w:rsidP="00A14C37">
      <w:pPr>
        <w:pStyle w:val="ListBullet"/>
      </w:pPr>
      <w:r w:rsidRPr="00A14C37">
        <w:t>file storage</w:t>
      </w:r>
    </w:p>
    <w:p w:rsidR="00000000" w:rsidRPr="00A14C37" w:rsidP="00A14C37">
      <w:pPr>
        <w:pStyle w:val="ListBullet"/>
      </w:pPr>
      <w:r w:rsidRPr="00A14C37">
        <w:t>the internet for research purposes</w:t>
      </w:r>
    </w:p>
    <w:p w:rsidR="00000000" w:rsidRPr="00A14C37" w:rsidP="00A14C37">
      <w:pPr>
        <w:pStyle w:val="ListBullet"/>
      </w:pPr>
      <w:r w:rsidRPr="00A14C37">
        <w:t>relevant legislation, including copyright and intellectual property legislation, and work health and safety legislation.</w:t>
      </w:r>
    </w:p>
    <w:p w:rsidR="00000000" w:rsidRPr="00A14C37" w:rsidP="00A14C37">
      <w:pPr>
        <w:pStyle w:val="BodyText"/>
      </w:pPr>
    </w:p>
    <w:p w:rsidR="00000000" w:rsidRPr="00A14C37" w:rsidP="00DB41FB">
      <w:pPr>
        <w:pStyle w:val="BodyText"/>
      </w:pPr>
      <w:r w:rsidRPr="00A14C37">
        <w:t>Assessors must satisfy NVR/AQTF assessor requirements.</w:t>
      </w:r>
    </w:p>
    <w:p w:rsidR="00000000" w:rsidRPr="00A14C37" w:rsidP="00A14C37">
      <w:pPr>
        <w:pStyle w:val="Heading1"/>
      </w:pPr>
      <w:bookmarkStart w:id="12" w:name="O_678734"/>
      <w:bookmarkEnd w:id="12"/>
      <w:r w:rsidRPr="00A14C37">
        <w:t>Links</w:t>
      </w:r>
    </w:p>
    <w:p w:rsidR="00000000" w:rsidRPr="00A14C37" w:rsidP="00DB41FB">
      <w:pPr>
        <w:pStyle w:val="BodyText"/>
      </w:pPr>
      <w:r w:rsidRPr="00A14C37">
        <w:t>Companion Volume impl</w:t>
      </w:r>
      <w:r w:rsidRPr="00A14C37">
        <w:t xml:space="preserve">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5C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14C37" w:rsidP="00A14C37"/>
    <w:sectPr w:rsidSect="00A14C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37" w:rsidRPr="00DB41FB" w:rsidP="00DB4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FB" w:rsidP="00A14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1FB" w:rsidP="00A14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41FB" w:rsidP="00A14C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37" w:rsidP="00A14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41FB">
      <w:t>Approved</w:t>
    </w:r>
    <w:r w:rsidR="00DB41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41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41FB">
      <w:rPr>
        <w:noProof/>
      </w:rPr>
      <w:t>4</w:t>
    </w:r>
    <w:r>
      <w:rPr>
        <w:noProof/>
      </w:rPr>
      <w:fldChar w:fldCharType="end"/>
    </w:r>
  </w:p>
  <w:p w:rsidR="00A14C37" w:rsidP="00A14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41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41FB">
      <w:t>Future Skills Organisation</w:t>
    </w:r>
    <w:r w:rsidR="00DB41FB">
      <w:fldChar w:fldCharType="end"/>
    </w:r>
  </w:p>
  <w:p w:rsidR="00A14C37" w:rsidP="00A14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C37" w:rsidRPr="00DB41FB" w:rsidP="00DB4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1FB" w:rsidRPr="002D2AF8" w:rsidP="00A14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ICTGAM529 Analyse business opportunities in the digital games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41FB" w:rsidP="00A14C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37" w:rsidRPr="002D2AF8" w:rsidP="00A14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41FB">
      <w:t>ICTGAM529 Analyse business opportunities in the digital games environment</w:t>
    </w:r>
    <w:r w:rsidR="00DB41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41FB">
      <w:rPr>
        <w:noProof/>
      </w:rPr>
      <w:t>2 March 2025</w:t>
    </w:r>
    <w:r>
      <w:fldChar w:fldCharType="end"/>
    </w:r>
  </w:p>
  <w:p w:rsidR="00A14C37" w:rsidP="00A14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DCF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87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C37"/>
  </w:style>
  <w:style w:type="character" w:customStyle="1" w:styleId="Heading1Char">
    <w:name w:val="Heading 1 Char"/>
    <w:basedOn w:val="DefaultParagraphFont"/>
    <w:link w:val="Heading1"/>
    <w:rsid w:val="00A14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C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C37"/>
    <w:rPr>
      <w:b/>
      <w:spacing w:val="0"/>
    </w:rPr>
  </w:style>
  <w:style w:type="character" w:styleId="Emphasis">
    <w:name w:val="Emphasis"/>
    <w:basedOn w:val="DefaultParagraphFont"/>
    <w:qFormat/>
    <w:rsid w:val="00A14C37"/>
    <w:rPr>
      <w:i/>
    </w:rPr>
  </w:style>
  <w:style w:type="paragraph" w:customStyle="1" w:styleId="SuperHeading">
    <w:name w:val="SuperHeading"/>
    <w:basedOn w:val="Normal"/>
    <w:rsid w:val="00A14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C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4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C37"/>
  </w:style>
  <w:style w:type="paragraph" w:styleId="TableofFigures">
    <w:name w:val="table of figures"/>
    <w:basedOn w:val="Normal"/>
    <w:next w:val="Normal"/>
    <w:semiHidden/>
    <w:rsid w:val="00A14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C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C37"/>
    <w:rPr>
      <w:rFonts w:ascii="Wingdings" w:hAnsi="Wingdings"/>
    </w:rPr>
  </w:style>
  <w:style w:type="paragraph" w:customStyle="1" w:styleId="TableHeading">
    <w:name w:val="Table Heading"/>
    <w:basedOn w:val="HeadingBase"/>
    <w:rsid w:val="00A14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C37"/>
    <w:rPr>
      <w:color w:val="0033CC"/>
      <w:u w:val="none"/>
    </w:rPr>
  </w:style>
  <w:style w:type="paragraph" w:customStyle="1" w:styleId="BodyTextRight">
    <w:name w:val="Body Text Right"/>
    <w:basedOn w:val="BodyText"/>
    <w:rsid w:val="00A14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C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C37"/>
    <w:rPr>
      <w:sz w:val="32"/>
    </w:rPr>
  </w:style>
  <w:style w:type="paragraph" w:customStyle="1" w:styleId="HeadingProcedure">
    <w:name w:val="Heading Procedure"/>
    <w:basedOn w:val="HeadingBase"/>
    <w:next w:val="Normal"/>
    <w:rsid w:val="00A14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C37"/>
    <w:pPr>
      <w:spacing w:before="60" w:after="60"/>
    </w:pPr>
  </w:style>
  <w:style w:type="paragraph" w:styleId="ListContinue">
    <w:name w:val="List Continue"/>
    <w:basedOn w:val="List"/>
    <w:rsid w:val="00A14C37"/>
    <w:pPr>
      <w:ind w:firstLine="0"/>
    </w:pPr>
  </w:style>
  <w:style w:type="paragraph" w:customStyle="1" w:styleId="ListNote">
    <w:name w:val="List Note"/>
    <w:basedOn w:val="List"/>
    <w:rsid w:val="00A14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C37"/>
    <w:rPr>
      <w:rFonts w:ascii="Courier New" w:hAnsi="Courier New"/>
    </w:rPr>
  </w:style>
  <w:style w:type="paragraph" w:customStyle="1" w:styleId="NoteBullet">
    <w:name w:val="Note Bullet"/>
    <w:basedOn w:val="Note"/>
    <w:rsid w:val="00A14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C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C37"/>
    <w:rPr>
      <w:b/>
      <w:smallCaps/>
    </w:rPr>
  </w:style>
  <w:style w:type="paragraph" w:customStyle="1" w:styleId="TableListNumber">
    <w:name w:val="Table List Number"/>
    <w:basedOn w:val="ListNumber"/>
    <w:rsid w:val="00A14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C37"/>
    <w:pPr>
      <w:numPr>
        <w:numId w:val="8"/>
      </w:numPr>
    </w:pPr>
  </w:style>
  <w:style w:type="paragraph" w:customStyle="1" w:styleId="ListAlpha2">
    <w:name w:val="List Alpha 2"/>
    <w:basedOn w:val="List2"/>
    <w:rsid w:val="00A14C37"/>
    <w:pPr>
      <w:numPr>
        <w:numId w:val="7"/>
      </w:numPr>
    </w:pPr>
  </w:style>
  <w:style w:type="paragraph" w:styleId="List2">
    <w:name w:val="List 2"/>
    <w:basedOn w:val="BodyText"/>
    <w:rsid w:val="00A14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C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C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C37"/>
    <w:pPr>
      <w:numPr>
        <w:numId w:val="3"/>
      </w:numPr>
    </w:pPr>
  </w:style>
  <w:style w:type="paragraph" w:styleId="ListContinue2">
    <w:name w:val="List Continue 2"/>
    <w:basedOn w:val="List2"/>
    <w:rsid w:val="00A14C37"/>
    <w:pPr>
      <w:ind w:firstLine="0"/>
    </w:pPr>
  </w:style>
  <w:style w:type="paragraph" w:styleId="ListContinue3">
    <w:name w:val="List Continue 3"/>
    <w:basedOn w:val="List3"/>
    <w:rsid w:val="00A14C37"/>
    <w:pPr>
      <w:ind w:left="1021" w:firstLine="0"/>
    </w:pPr>
  </w:style>
  <w:style w:type="paragraph" w:styleId="ListContinue4">
    <w:name w:val="List Continue 4"/>
    <w:basedOn w:val="List4"/>
    <w:rsid w:val="00A14C37"/>
    <w:pPr>
      <w:ind w:firstLine="0"/>
    </w:pPr>
  </w:style>
  <w:style w:type="paragraph" w:styleId="ListContinue5">
    <w:name w:val="List Continue 5"/>
    <w:basedOn w:val="List5"/>
    <w:rsid w:val="00A14C37"/>
    <w:pPr>
      <w:ind w:firstLine="0"/>
    </w:pPr>
  </w:style>
  <w:style w:type="paragraph" w:styleId="ListNumber3">
    <w:name w:val="List Number 3"/>
    <w:basedOn w:val="List3"/>
    <w:rsid w:val="00A14C37"/>
    <w:pPr>
      <w:numPr>
        <w:numId w:val="4"/>
      </w:numPr>
    </w:pPr>
  </w:style>
  <w:style w:type="paragraph" w:styleId="ListNumber4">
    <w:name w:val="List Number 4"/>
    <w:basedOn w:val="List4"/>
    <w:rsid w:val="00A14C37"/>
    <w:pPr>
      <w:numPr>
        <w:numId w:val="5"/>
      </w:numPr>
    </w:pPr>
  </w:style>
  <w:style w:type="paragraph" w:styleId="ListNumber5">
    <w:name w:val="List Number 5"/>
    <w:basedOn w:val="List5"/>
    <w:rsid w:val="00A14C37"/>
    <w:pPr>
      <w:numPr>
        <w:numId w:val="6"/>
      </w:numPr>
    </w:pPr>
  </w:style>
  <w:style w:type="paragraph" w:styleId="BlockText">
    <w:name w:val="Block Text"/>
    <w:basedOn w:val="Normal"/>
    <w:rsid w:val="00A14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C37"/>
    <w:rPr>
      <w:sz w:val="16"/>
      <w:vertAlign w:val="superscript"/>
    </w:rPr>
  </w:style>
  <w:style w:type="character" w:customStyle="1" w:styleId="Symbols">
    <w:name w:val="Symbols"/>
    <w:basedOn w:val="DefaultParagraphFont"/>
    <w:rsid w:val="00A14C37"/>
    <w:rPr>
      <w:rFonts w:ascii="Symbol" w:hAnsi="Symbol"/>
    </w:rPr>
  </w:style>
  <w:style w:type="character" w:customStyle="1" w:styleId="MenuOptions">
    <w:name w:val="Menu Options"/>
    <w:basedOn w:val="DefaultParagraphFont"/>
    <w:rsid w:val="00A14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C37"/>
    <w:rPr>
      <w:b/>
    </w:rPr>
  </w:style>
  <w:style w:type="character" w:customStyle="1" w:styleId="Underlined">
    <w:name w:val="Underlined"/>
    <w:basedOn w:val="DefaultParagraphFont"/>
    <w:rsid w:val="00A14C37"/>
    <w:rPr>
      <w:u w:val="single"/>
    </w:rPr>
  </w:style>
  <w:style w:type="paragraph" w:customStyle="1" w:styleId="TableBodyTextRight">
    <w:name w:val="Table Body Text Right"/>
    <w:basedOn w:val="TableBodyText"/>
    <w:rsid w:val="00A14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C37"/>
    <w:rPr>
      <w:sz w:val="18"/>
    </w:rPr>
  </w:style>
  <w:style w:type="paragraph" w:customStyle="1" w:styleId="BodySmallRight">
    <w:name w:val="Body Small Right"/>
    <w:basedOn w:val="BodyTextRight"/>
    <w:rsid w:val="00A14C37"/>
    <w:rPr>
      <w:sz w:val="18"/>
      <w:szCs w:val="18"/>
    </w:rPr>
  </w:style>
  <w:style w:type="paragraph" w:customStyle="1" w:styleId="MarginEdition">
    <w:name w:val="Margin Edition"/>
    <w:basedOn w:val="MarginNote"/>
    <w:rsid w:val="00A14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C37"/>
    <w:rPr>
      <w:sz w:val="2"/>
      <w:szCs w:val="2"/>
    </w:rPr>
  </w:style>
  <w:style w:type="character" w:customStyle="1" w:styleId="Small">
    <w:name w:val="Small"/>
    <w:basedOn w:val="DefaultParagraphFont"/>
    <w:rsid w:val="00A14C37"/>
    <w:rPr>
      <w:sz w:val="16"/>
    </w:rPr>
  </w:style>
  <w:style w:type="paragraph" w:customStyle="1" w:styleId="WideTable">
    <w:name w:val="Wide Table"/>
    <w:basedOn w:val="Normal"/>
    <w:rsid w:val="00A14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C37"/>
  </w:style>
  <w:style w:type="paragraph" w:styleId="Quote">
    <w:name w:val="Quote"/>
    <w:basedOn w:val="Heading1"/>
    <w:link w:val="QuoteChar"/>
    <w:qFormat/>
    <w:rsid w:val="00A14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C37"/>
    <w:pPr>
      <w:pageBreakBefore/>
    </w:pPr>
  </w:style>
  <w:style w:type="paragraph" w:customStyle="1" w:styleId="Border">
    <w:name w:val="Border"/>
    <w:basedOn w:val="Normal"/>
    <w:qFormat/>
    <w:rsid w:val="00A14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C37"/>
    <w:rPr>
      <w:u w:val="single"/>
    </w:rPr>
  </w:style>
  <w:style w:type="character" w:customStyle="1" w:styleId="BoldandItalics">
    <w:name w:val="Bold and Italics"/>
    <w:qFormat/>
    <w:rsid w:val="00A14C37"/>
    <w:rPr>
      <w:b/>
      <w:i/>
      <w:u w:val="none"/>
    </w:rPr>
  </w:style>
  <w:style w:type="paragraph" w:styleId="BalloonText">
    <w:name w:val="Balloon Text"/>
    <w:basedOn w:val="Normal"/>
    <w:link w:val="BalloonTextChar"/>
    <w:rsid w:val="00A14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C37"/>
    <w:pPr>
      <w:spacing w:before="0" w:after="0"/>
    </w:pPr>
  </w:style>
  <w:style w:type="paragraph" w:customStyle="1" w:styleId="BodyTextBold">
    <w:name w:val="Body Text Bold"/>
    <w:basedOn w:val="BodyText"/>
    <w:qFormat/>
    <w:rsid w:val="00A14C37"/>
    <w:rPr>
      <w:b/>
    </w:rPr>
  </w:style>
  <w:style w:type="character" w:styleId="Hyperlink">
    <w:name w:val="Hyperlink"/>
    <w:basedOn w:val="DefaultParagraphFont"/>
    <w:uiPriority w:val="99"/>
    <w:unhideWhenUsed/>
    <w:rsid w:val="00DB4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6107</Characters>
  <Application>Microsoft Office Word</Application>
  <DocSecurity>0</DocSecurity>
  <Lines>226</Lines>
  <Paragraphs>126</Paragraphs>
  <ScaleCrop>false</ScaleCrop>
  <Company>Author-it Software Corporation Ltd.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ICTGAM529 Analyse business opportunities in the digital games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