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973" w:rsidP="004C6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ICTDRE303 Install a complex digital reception system</w:t>
      </w:r>
      <w:r>
        <w:fldChar w:fldCharType="end"/>
      </w:r>
    </w:p>
    <w:p w:rsidR="004C6973" w:rsidP="004C6973">
      <w:pPr>
        <w:pStyle w:val="Version"/>
        <w:sectPr w:rsidSect="00B72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2ABA" w:rsidP="00B72ABA">
      <w:pPr>
        <w:pStyle w:val="SuperHeading"/>
      </w:pPr>
      <w:r w:rsidRPr="00B72ABA">
        <w:t>ICTDRE303 Install a complex digital reception system</w:t>
      </w:r>
    </w:p>
    <w:p w:rsidR="00000000" w:rsidRPr="00B72ABA" w:rsidP="00B72ABA">
      <w:pPr>
        <w:pStyle w:val="Heading1"/>
      </w:pPr>
      <w:bookmarkStart w:id="1" w:name="O_1046752"/>
      <w:bookmarkEnd w:id="1"/>
      <w:r w:rsidRPr="00B72A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72A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rPr>
                <w:rStyle w:val="SpecialBold"/>
              </w:rPr>
              <w:t>Comments</w:t>
            </w:r>
          </w:p>
        </w:tc>
      </w:tr>
      <w:tr w:rsidTr="00B72A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This version released with ICT Information and Communications Technology Training Package Version 5.0.</w:t>
            </w:r>
          </w:p>
        </w:tc>
      </w:tr>
      <w:tr w:rsidTr="00B72A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This version first released with ICT Information and Communications Technol</w:t>
            </w:r>
            <w:r w:rsidRPr="00B72ABA">
              <w:t>ogy Training Package Version 2.0.</w:t>
            </w:r>
          </w:p>
        </w:tc>
      </w:tr>
    </w:tbl>
    <w:p w:rsidR="004C6973" w:rsidP="00B72ABA">
      <w:pPr>
        <w:pStyle w:val="BodyText"/>
      </w:pPr>
    </w:p>
    <w:p w:rsidR="004C6973" w:rsidP="00B72ABA">
      <w:pPr>
        <w:pStyle w:val="BodyText"/>
      </w:pPr>
    </w:p>
    <w:p w:rsidR="00000000" w:rsidRPr="00B72ABA" w:rsidP="00B72ABA">
      <w:pPr>
        <w:pStyle w:val="Heading1"/>
      </w:pPr>
      <w:bookmarkStart w:id="2" w:name="O_1046751"/>
      <w:bookmarkEnd w:id="2"/>
      <w:r w:rsidRPr="00B72ABA">
        <w:t>Application</w:t>
      </w:r>
    </w:p>
    <w:p w:rsidR="00000000" w:rsidRPr="00B72ABA" w:rsidP="004C6973">
      <w:pPr>
        <w:pStyle w:val="BodyText"/>
      </w:pPr>
      <w:r w:rsidRPr="00B72ABA">
        <w:t>This unit describes the skills and knowledge required to design, install, test and commission a complex digital reception broadband service system.</w:t>
      </w:r>
    </w:p>
    <w:p w:rsidR="00000000" w:rsidRPr="00B72ABA" w:rsidP="004C6973">
      <w:pPr>
        <w:pStyle w:val="BodyText"/>
      </w:pPr>
      <w:r w:rsidRPr="00B72ABA">
        <w:t>It applies to individuals who work on c</w:t>
      </w:r>
      <w:r w:rsidRPr="00B72ABA">
        <w:t>omplex radio frequency (RF) and digital distribution systems, such as master antenna television (MATV) and satellite master antenna television (SMATV), in commercial or multi-dwelling unit (MDU) environments.</w:t>
      </w:r>
    </w:p>
    <w:p w:rsidR="004C6973" w:rsidP="004C6973">
      <w:pPr>
        <w:pStyle w:val="BodyText"/>
      </w:pPr>
      <w:r w:rsidRPr="00B72ABA">
        <w:t>No licensing, legislative or certification req</w:t>
      </w:r>
      <w:r w:rsidRPr="00B72ABA">
        <w:t>uirements apply at the time of publication.</w:t>
      </w:r>
    </w:p>
    <w:p w:rsidR="00000000" w:rsidRPr="00B72ABA" w:rsidP="00B72ABA">
      <w:pPr>
        <w:pStyle w:val="Heading1"/>
      </w:pPr>
      <w:bookmarkStart w:id="3" w:name="O_1046750"/>
      <w:bookmarkEnd w:id="3"/>
      <w:r w:rsidRPr="00B72ABA">
        <w:t>Unit Sector</w:t>
      </w:r>
    </w:p>
    <w:p w:rsidR="00000000" w:rsidRPr="00B72ABA" w:rsidP="004C6973">
      <w:pPr>
        <w:pStyle w:val="BodyText"/>
      </w:pPr>
      <w:r w:rsidRPr="00B72ABA">
        <w:t>Telecommunications – Digital Reception Technology</w:t>
      </w:r>
    </w:p>
    <w:p w:rsidR="00000000" w:rsidRPr="00B72ABA" w:rsidP="00B72ABA">
      <w:pPr>
        <w:pStyle w:val="Heading1"/>
      </w:pPr>
      <w:bookmarkStart w:id="4" w:name="O_1046749"/>
      <w:bookmarkEnd w:id="4"/>
      <w:r w:rsidRPr="00B72ABA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6953"/>
      </w:tblGrid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ELEMENT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rPr>
                <w:rStyle w:val="SpecialBold"/>
              </w:rPr>
              <w:t>PERFORMANCE CRITERIA</w:t>
            </w:r>
          </w:p>
        </w:tc>
      </w:tr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Emphasis"/>
              </w:rPr>
              <w:t>Elements describe the essential outcomes.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1. Plan installation of a complex digital reception system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1.1 Notify customer to arrange access to site and identify customer equipment</w:t>
            </w:r>
          </w:p>
          <w:p w:rsidR="00000000" w:rsidRPr="00B72ABA" w:rsidP="00B72ABA">
            <w:pPr>
              <w:pStyle w:val="BodyText"/>
            </w:pPr>
            <w:r w:rsidRPr="00B72ABA">
              <w:t>1.2 Select type of com</w:t>
            </w:r>
            <w:r w:rsidRPr="00B72ABA">
              <w:t>plex digital systems and consequent constraints on installation according to customer specifications</w:t>
            </w:r>
          </w:p>
          <w:p w:rsidR="00000000" w:rsidRPr="00B72ABA" w:rsidP="00B72ABA">
            <w:pPr>
              <w:pStyle w:val="BodyText"/>
            </w:pPr>
            <w:r w:rsidRPr="00B72ABA">
              <w:t xml:space="preserve">1.3 Complete a job safety analysis (JSA) identifying work health and </w:t>
            </w:r>
            <w:r w:rsidRPr="00B72ABA">
              <w:t>safety (WHS) issues</w:t>
            </w:r>
          </w:p>
          <w:p w:rsidR="00000000" w:rsidRPr="00B72ABA" w:rsidP="00B72ABA">
            <w:pPr>
              <w:pStyle w:val="BodyText"/>
            </w:pPr>
            <w:r w:rsidRPr="00B72ABA">
              <w:t>1.4 Prepare for installation according to relevant legislation, co</w:t>
            </w:r>
            <w:r w:rsidRPr="00B72ABA">
              <w:t xml:space="preserve">des, regulations and standards </w:t>
            </w:r>
          </w:p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1.5 Verify design requirements are suitable for site application and required system performance</w:t>
            </w:r>
          </w:p>
        </w:tc>
      </w:tr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 xml:space="preserve">2. Assemble complex digital reception system 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2.1 Select and obtain materials, tools and equipment for installation</w:t>
            </w:r>
          </w:p>
          <w:p w:rsidR="00000000" w:rsidRPr="00B72ABA" w:rsidP="00B72ABA">
            <w:pPr>
              <w:pStyle w:val="BodyText"/>
            </w:pPr>
            <w:r w:rsidRPr="00B72ABA">
              <w:t>2.2 Select suitable headend location and cable access</w:t>
            </w:r>
          </w:p>
          <w:p w:rsidR="00000000" w:rsidRPr="00B72ABA" w:rsidP="00B72ABA">
            <w:pPr>
              <w:pStyle w:val="BodyText"/>
            </w:pPr>
            <w:r w:rsidRPr="00B72ABA">
              <w:t>2.3 Build headend according to design requirements and manufacturer’s specifications</w:t>
            </w:r>
          </w:p>
          <w:p w:rsidR="00000000" w:rsidRPr="00B72ABA" w:rsidP="00B72ABA">
            <w:pPr>
              <w:pStyle w:val="BodyText"/>
            </w:pPr>
            <w:r w:rsidRPr="00B72ABA">
              <w:t>2.4 Configure headend and distribution devices to operate according to design and manufacturer’s specifications</w:t>
            </w:r>
          </w:p>
          <w:p w:rsidR="00000000" w:rsidRPr="00B72ABA" w:rsidP="00B72ABA">
            <w:pPr>
              <w:pStyle w:val="BodyText"/>
            </w:pPr>
            <w:r w:rsidRPr="00B72ABA">
              <w:t>2.5 R</w:t>
            </w:r>
            <w:r w:rsidRPr="00B72ABA">
              <w:t xml:space="preserve">un cables along identified routes </w:t>
            </w:r>
          </w:p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 xml:space="preserve">2.6 Terminate cables according to both design and manufacturer’s specifications </w:t>
            </w:r>
          </w:p>
        </w:tc>
      </w:tr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3. Test and commission system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3.1 Conduct performance test operation of headend and distribution devices</w:t>
            </w:r>
          </w:p>
          <w:p w:rsidR="00000000" w:rsidRPr="00B72ABA" w:rsidP="00B72ABA">
            <w:pPr>
              <w:pStyle w:val="BodyText"/>
            </w:pPr>
            <w:r w:rsidRPr="00B72ABA">
              <w:t>3.2 Activate system and conduct si</w:t>
            </w:r>
            <w:r w:rsidRPr="00B72ABA">
              <w:t xml:space="preserve">gnal measurement using test equipment </w:t>
            </w:r>
          </w:p>
          <w:p w:rsidR="00000000" w:rsidRPr="00B72ABA" w:rsidP="00B72ABA">
            <w:pPr>
              <w:pStyle w:val="BodyText"/>
            </w:pPr>
            <w:r w:rsidRPr="00B72ABA">
              <w:t>3.3 Record and analyse initial test results for quality of service according to design specifications</w:t>
            </w:r>
          </w:p>
          <w:p w:rsidR="00000000" w:rsidRPr="00B72ABA" w:rsidP="00B72ABA">
            <w:pPr>
              <w:pStyle w:val="BodyText"/>
            </w:pPr>
            <w:r w:rsidRPr="00B72ABA">
              <w:t>3.4 Rectify identified faults and adjust system to optimal operation</w:t>
            </w:r>
          </w:p>
          <w:p w:rsidR="00000000" w:rsidRPr="00B72ABA" w:rsidP="00B72ABA">
            <w:pPr>
              <w:pStyle w:val="BodyText"/>
            </w:pPr>
            <w:r w:rsidRPr="00B72ABA">
              <w:t>3.5 Conduct final signal measurement using tes</w:t>
            </w:r>
            <w:r w:rsidRPr="00B72ABA">
              <w:t>t equipment to optimise performance</w:t>
            </w:r>
          </w:p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3.6 Update design plans to ‘as built’ status</w:t>
            </w:r>
          </w:p>
        </w:tc>
      </w:tr>
      <w:tr w:rsidTr="00B72A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4. Complete administrative tasks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4.1 Record final commissioning test results and settings in line with client requirements</w:t>
            </w:r>
          </w:p>
          <w:p w:rsidR="00000000" w:rsidRPr="00B72ABA" w:rsidP="00B72ABA">
            <w:pPr>
              <w:pStyle w:val="BodyText"/>
            </w:pPr>
            <w:r w:rsidRPr="00B72ABA">
              <w:t xml:space="preserve">4.2 Complete appropriate records and test results, </w:t>
            </w:r>
            <w:r w:rsidRPr="00B72ABA">
              <w:t>and store according to policy</w:t>
            </w:r>
          </w:p>
          <w:p w:rsidR="00000000" w:rsidRPr="00B72ABA" w:rsidP="00B72ABA">
            <w:pPr>
              <w:pStyle w:val="BodyText"/>
            </w:pPr>
            <w:r w:rsidRPr="00B72ABA">
              <w:t xml:space="preserve">4.3 Complete all financial and other documentation </w:t>
            </w:r>
          </w:p>
          <w:p w:rsidR="00000000" w:rsidRPr="00B72ABA" w:rsidP="00B72ABA">
            <w:pPr>
              <w:pStyle w:val="BodyText"/>
            </w:pPr>
            <w:r w:rsidRPr="00B72ABA">
              <w:t>4.4 Hand over to customer and obtain sign off</w:t>
            </w:r>
          </w:p>
        </w:tc>
      </w:tr>
    </w:tbl>
    <w:p w:rsidR="00000000" w:rsidRPr="00B72ABA" w:rsidP="00B72ABA">
      <w:pPr>
        <w:pStyle w:val="BodyText"/>
      </w:pPr>
    </w:p>
    <w:p w:rsidR="00000000" w:rsidRPr="00B72ABA" w:rsidP="00B72ABA">
      <w:pPr>
        <w:pStyle w:val="AllowPageBreak"/>
      </w:pPr>
    </w:p>
    <w:p w:rsidR="00000000" w:rsidRPr="00B72ABA" w:rsidP="00B72ABA">
      <w:pPr>
        <w:pStyle w:val="Heading1"/>
      </w:pPr>
      <w:bookmarkStart w:id="5" w:name="O_1046748"/>
      <w:bookmarkEnd w:id="5"/>
      <w:r w:rsidRPr="00B72ABA">
        <w:t>Foundation Skills</w:t>
      </w:r>
    </w:p>
    <w:p w:rsidR="00000000" w:rsidRPr="004C6973" w:rsidP="004C6973">
      <w:pPr>
        <w:pStyle w:val="BodyText"/>
        <w:rPr>
          <w:i/>
        </w:rPr>
      </w:pPr>
      <w:r w:rsidRPr="004C69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684"/>
      </w:tblGrid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Skill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rPr>
                <w:rStyle w:val="SpecialBold"/>
              </w:rPr>
              <w:t>Description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Reading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>Interprets textual information from relevant sources to identify rel</w:t>
            </w:r>
            <w:r w:rsidRPr="00B72ABA">
              <w:t>evant and key information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Writing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>Uses clear, specific and industry related terminology to complete workplace documentation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Oral Communication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 xml:space="preserve">Articulates clearly using appropriate language for environment and uses listening techniques </w:t>
            </w:r>
            <w:r w:rsidRPr="00B72ABA">
              <w:t>to confirm understanding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Numeracy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>Takes readings and measurements and interprets results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Navigate the world of work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>Takes responsibility for following safe, sustainable, appropriate, and efficient workplace procedures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Interact with others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ListBullet"/>
            </w:pPr>
            <w:r w:rsidRPr="00B72ABA">
              <w:t>Makes conta</w:t>
            </w:r>
            <w:r w:rsidRPr="00B72ABA">
              <w:t>ct with customer</w:t>
            </w:r>
          </w:p>
          <w:p w:rsidR="00000000" w:rsidP="00B72ABA">
            <w:pPr>
              <w:pStyle w:val="ListBullet"/>
              <w:rPr>
                <w:lang w:val="en-NZ"/>
              </w:rPr>
            </w:pPr>
            <w:r w:rsidRPr="00B72ABA">
              <w:t>Deals with customer to obtain sign-off on completed work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Get the work done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ListBullet"/>
            </w:pPr>
            <w:r w:rsidRPr="00B72ABA">
              <w:t>Plans, organises and implements tasks efficiently to meet customer requirements</w:t>
            </w:r>
          </w:p>
          <w:p w:rsidR="00000000" w:rsidRPr="00B72ABA" w:rsidP="00B72ABA">
            <w:pPr>
              <w:pStyle w:val="ListBullet"/>
            </w:pPr>
            <w:r w:rsidRPr="00B72ABA">
              <w:t>Identifies and resolves problems</w:t>
            </w:r>
          </w:p>
        </w:tc>
      </w:tr>
    </w:tbl>
    <w:p w:rsidR="00000000" w:rsidRPr="00B72ABA" w:rsidP="00B72ABA">
      <w:pPr>
        <w:pStyle w:val="BodyText"/>
      </w:pPr>
    </w:p>
    <w:p w:rsidR="00000000" w:rsidRPr="00B72ABA" w:rsidP="00B72ABA">
      <w:pPr>
        <w:pStyle w:val="AllowPageBreak"/>
      </w:pPr>
    </w:p>
    <w:p w:rsidR="00000000" w:rsidRPr="00B72ABA" w:rsidP="00B72ABA">
      <w:pPr>
        <w:pStyle w:val="Heading1"/>
      </w:pPr>
      <w:bookmarkStart w:id="6" w:name="O_1046747"/>
      <w:bookmarkEnd w:id="6"/>
      <w:r w:rsidRPr="00B72A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 xml:space="preserve">Code and title </w:t>
            </w:r>
          </w:p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Code and title</w:t>
            </w:r>
          </w:p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rPr>
                <w:rStyle w:val="SpecialBold"/>
              </w:rPr>
              <w:t>Equivalence status</w:t>
            </w:r>
          </w:p>
        </w:tc>
      </w:tr>
      <w:tr w:rsidTr="00B72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ICTDRE303 Install a complex digital reception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ICTDRE303 Install a complex digital reception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ABA">
            <w:pPr>
              <w:pStyle w:val="BodyText"/>
              <w:rPr>
                <w:lang w:val="en-NZ"/>
              </w:rPr>
            </w:pPr>
            <w:r w:rsidRPr="00B72ABA">
              <w:t>Updates to application and knowledge evidence. Updates to template to apply consistent format between units.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ABA" w:rsidP="00B72ABA">
            <w:pPr>
              <w:pStyle w:val="BodyText"/>
            </w:pPr>
            <w:r w:rsidRPr="00B72ABA">
              <w:t>Equivalent unit</w:t>
            </w:r>
          </w:p>
        </w:tc>
      </w:tr>
    </w:tbl>
    <w:p w:rsidR="00000000" w:rsidRPr="00B72ABA" w:rsidP="00B72ABA">
      <w:pPr>
        <w:pStyle w:val="BodyText"/>
      </w:pPr>
    </w:p>
    <w:p w:rsidR="00000000" w:rsidRPr="00B72ABA" w:rsidP="00B72ABA">
      <w:pPr>
        <w:pStyle w:val="AllowPageBreak"/>
      </w:pPr>
    </w:p>
    <w:p w:rsidR="00000000" w:rsidRPr="00B72ABA" w:rsidP="00B72ABA">
      <w:pPr>
        <w:pStyle w:val="Heading1"/>
      </w:pPr>
      <w:bookmarkStart w:id="7" w:name="O_1046753"/>
      <w:bookmarkEnd w:id="7"/>
      <w:r w:rsidRPr="00B72ABA">
        <w:t>Links</w:t>
      </w:r>
    </w:p>
    <w:p w:rsidR="00000000" w:rsidRPr="00B72ABA" w:rsidP="004C6973">
      <w:pPr>
        <w:pStyle w:val="BodyText"/>
      </w:pPr>
      <w:r w:rsidRPr="00B72AB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63F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72ABA" w:rsidP="00B72ABA"/>
    <w:sectPr w:rsidSect="00B72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BA" w:rsidRPr="004C6973" w:rsidP="004C6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73" w:rsidP="00B72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973" w:rsidP="00B72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6973" w:rsidP="00B72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ABA" w:rsidRPr="004C6973" w:rsidP="004C6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73" w:rsidRPr="002D2AF8" w:rsidP="00B72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ICTDRE303 Install a complex digital reception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6973" w:rsidP="00B72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7ED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765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ABA"/>
  </w:style>
  <w:style w:type="character" w:customStyle="1" w:styleId="Heading1Char">
    <w:name w:val="Heading 1 Char"/>
    <w:basedOn w:val="DefaultParagraphFont"/>
    <w:link w:val="Heading1"/>
    <w:rsid w:val="00B72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A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ABA"/>
    <w:rPr>
      <w:b/>
      <w:spacing w:val="0"/>
    </w:rPr>
  </w:style>
  <w:style w:type="character" w:styleId="Emphasis">
    <w:name w:val="Emphasis"/>
    <w:basedOn w:val="DefaultParagraphFont"/>
    <w:qFormat/>
    <w:rsid w:val="00B72ABA"/>
    <w:rPr>
      <w:i/>
    </w:rPr>
  </w:style>
  <w:style w:type="paragraph" w:customStyle="1" w:styleId="SuperHeading">
    <w:name w:val="SuperHeading"/>
    <w:basedOn w:val="Normal"/>
    <w:rsid w:val="00B72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A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ABA"/>
  </w:style>
  <w:style w:type="paragraph" w:styleId="TableofFigures">
    <w:name w:val="table of figures"/>
    <w:basedOn w:val="Normal"/>
    <w:next w:val="Normal"/>
    <w:semiHidden/>
    <w:rsid w:val="00B72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A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ABA"/>
    <w:rPr>
      <w:rFonts w:ascii="Wingdings" w:hAnsi="Wingdings"/>
    </w:rPr>
  </w:style>
  <w:style w:type="paragraph" w:customStyle="1" w:styleId="TableHeading">
    <w:name w:val="Table Heading"/>
    <w:basedOn w:val="HeadingBase"/>
    <w:rsid w:val="00B72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ABA"/>
    <w:rPr>
      <w:color w:val="0033CC"/>
      <w:u w:val="none"/>
    </w:rPr>
  </w:style>
  <w:style w:type="paragraph" w:customStyle="1" w:styleId="BodyTextRight">
    <w:name w:val="Body Text Right"/>
    <w:basedOn w:val="BodyText"/>
    <w:rsid w:val="00B72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A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ABA"/>
    <w:rPr>
      <w:sz w:val="32"/>
    </w:rPr>
  </w:style>
  <w:style w:type="paragraph" w:customStyle="1" w:styleId="HeadingProcedure">
    <w:name w:val="Heading Procedure"/>
    <w:basedOn w:val="HeadingBase"/>
    <w:next w:val="Normal"/>
    <w:rsid w:val="00B72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ABA"/>
    <w:pPr>
      <w:spacing w:before="60" w:after="60"/>
    </w:pPr>
  </w:style>
  <w:style w:type="paragraph" w:styleId="ListContinue">
    <w:name w:val="List Continue"/>
    <w:basedOn w:val="List"/>
    <w:rsid w:val="00B72ABA"/>
    <w:pPr>
      <w:ind w:firstLine="0"/>
    </w:pPr>
  </w:style>
  <w:style w:type="paragraph" w:customStyle="1" w:styleId="ListNote">
    <w:name w:val="List Note"/>
    <w:basedOn w:val="List"/>
    <w:rsid w:val="00B72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ABA"/>
    <w:rPr>
      <w:rFonts w:ascii="Courier New" w:hAnsi="Courier New"/>
    </w:rPr>
  </w:style>
  <w:style w:type="paragraph" w:customStyle="1" w:styleId="NoteBullet">
    <w:name w:val="Note Bullet"/>
    <w:basedOn w:val="Note"/>
    <w:rsid w:val="00B72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A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ABA"/>
    <w:rPr>
      <w:b/>
      <w:smallCaps/>
    </w:rPr>
  </w:style>
  <w:style w:type="paragraph" w:customStyle="1" w:styleId="TableListNumber">
    <w:name w:val="Table List Number"/>
    <w:basedOn w:val="ListNumber"/>
    <w:rsid w:val="00B72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ABA"/>
    <w:pPr>
      <w:numPr>
        <w:numId w:val="8"/>
      </w:numPr>
    </w:pPr>
  </w:style>
  <w:style w:type="paragraph" w:customStyle="1" w:styleId="ListAlpha2">
    <w:name w:val="List Alpha 2"/>
    <w:basedOn w:val="List2"/>
    <w:rsid w:val="00B72ABA"/>
    <w:pPr>
      <w:numPr>
        <w:numId w:val="7"/>
      </w:numPr>
    </w:pPr>
  </w:style>
  <w:style w:type="paragraph" w:styleId="List2">
    <w:name w:val="List 2"/>
    <w:basedOn w:val="BodyText"/>
    <w:rsid w:val="00B72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A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A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ABA"/>
    <w:pPr>
      <w:numPr>
        <w:numId w:val="3"/>
      </w:numPr>
    </w:pPr>
  </w:style>
  <w:style w:type="paragraph" w:styleId="ListContinue2">
    <w:name w:val="List Continue 2"/>
    <w:basedOn w:val="List2"/>
    <w:rsid w:val="00B72ABA"/>
    <w:pPr>
      <w:ind w:firstLine="0"/>
    </w:pPr>
  </w:style>
  <w:style w:type="paragraph" w:styleId="ListContinue3">
    <w:name w:val="List Continue 3"/>
    <w:basedOn w:val="List3"/>
    <w:rsid w:val="00B72ABA"/>
    <w:pPr>
      <w:ind w:left="1021" w:firstLine="0"/>
    </w:pPr>
  </w:style>
  <w:style w:type="paragraph" w:styleId="ListContinue4">
    <w:name w:val="List Continue 4"/>
    <w:basedOn w:val="List4"/>
    <w:rsid w:val="00B72ABA"/>
    <w:pPr>
      <w:ind w:firstLine="0"/>
    </w:pPr>
  </w:style>
  <w:style w:type="paragraph" w:styleId="ListContinue5">
    <w:name w:val="List Continue 5"/>
    <w:basedOn w:val="List5"/>
    <w:rsid w:val="00B72ABA"/>
    <w:pPr>
      <w:ind w:firstLine="0"/>
    </w:pPr>
  </w:style>
  <w:style w:type="paragraph" w:styleId="ListNumber3">
    <w:name w:val="List Number 3"/>
    <w:basedOn w:val="List3"/>
    <w:rsid w:val="00B72ABA"/>
    <w:pPr>
      <w:numPr>
        <w:numId w:val="4"/>
      </w:numPr>
    </w:pPr>
  </w:style>
  <w:style w:type="paragraph" w:styleId="ListNumber4">
    <w:name w:val="List Number 4"/>
    <w:basedOn w:val="List4"/>
    <w:rsid w:val="00B72ABA"/>
    <w:pPr>
      <w:numPr>
        <w:numId w:val="5"/>
      </w:numPr>
    </w:pPr>
  </w:style>
  <w:style w:type="paragraph" w:styleId="ListNumber5">
    <w:name w:val="List Number 5"/>
    <w:basedOn w:val="List5"/>
    <w:rsid w:val="00B72ABA"/>
    <w:pPr>
      <w:numPr>
        <w:numId w:val="6"/>
      </w:numPr>
    </w:pPr>
  </w:style>
  <w:style w:type="paragraph" w:styleId="BlockText">
    <w:name w:val="Block Text"/>
    <w:basedOn w:val="Normal"/>
    <w:rsid w:val="00B72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ABA"/>
    <w:rPr>
      <w:sz w:val="16"/>
      <w:vertAlign w:val="superscript"/>
    </w:rPr>
  </w:style>
  <w:style w:type="character" w:customStyle="1" w:styleId="Symbols">
    <w:name w:val="Symbols"/>
    <w:basedOn w:val="DefaultParagraphFont"/>
    <w:rsid w:val="00B72ABA"/>
    <w:rPr>
      <w:rFonts w:ascii="Symbol" w:hAnsi="Symbol"/>
    </w:rPr>
  </w:style>
  <w:style w:type="character" w:customStyle="1" w:styleId="MenuOptions">
    <w:name w:val="Menu Options"/>
    <w:basedOn w:val="DefaultParagraphFont"/>
    <w:rsid w:val="00B72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ABA"/>
    <w:rPr>
      <w:b/>
    </w:rPr>
  </w:style>
  <w:style w:type="character" w:customStyle="1" w:styleId="Underlined">
    <w:name w:val="Underlined"/>
    <w:basedOn w:val="DefaultParagraphFont"/>
    <w:rsid w:val="00B72ABA"/>
    <w:rPr>
      <w:u w:val="single"/>
    </w:rPr>
  </w:style>
  <w:style w:type="paragraph" w:customStyle="1" w:styleId="TableBodyTextRight">
    <w:name w:val="Table Body Text Right"/>
    <w:basedOn w:val="TableBodyText"/>
    <w:rsid w:val="00B72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ABA"/>
    <w:rPr>
      <w:sz w:val="18"/>
    </w:rPr>
  </w:style>
  <w:style w:type="paragraph" w:customStyle="1" w:styleId="BodySmallRight">
    <w:name w:val="Body Small Right"/>
    <w:basedOn w:val="BodyTextRight"/>
    <w:rsid w:val="00B72ABA"/>
    <w:rPr>
      <w:sz w:val="18"/>
      <w:szCs w:val="18"/>
    </w:rPr>
  </w:style>
  <w:style w:type="paragraph" w:customStyle="1" w:styleId="MarginEdition">
    <w:name w:val="Margin Edition"/>
    <w:basedOn w:val="MarginNote"/>
    <w:rsid w:val="00B72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ABA"/>
    <w:rPr>
      <w:sz w:val="2"/>
      <w:szCs w:val="2"/>
    </w:rPr>
  </w:style>
  <w:style w:type="character" w:customStyle="1" w:styleId="Small">
    <w:name w:val="Small"/>
    <w:basedOn w:val="DefaultParagraphFont"/>
    <w:rsid w:val="00B72ABA"/>
    <w:rPr>
      <w:sz w:val="16"/>
    </w:rPr>
  </w:style>
  <w:style w:type="paragraph" w:customStyle="1" w:styleId="WideTable">
    <w:name w:val="Wide Table"/>
    <w:basedOn w:val="Normal"/>
    <w:rsid w:val="00B72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ABA"/>
  </w:style>
  <w:style w:type="paragraph" w:styleId="Quote">
    <w:name w:val="Quote"/>
    <w:basedOn w:val="Heading1"/>
    <w:link w:val="QuoteChar"/>
    <w:qFormat/>
    <w:rsid w:val="00B72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ABA"/>
    <w:pPr>
      <w:pageBreakBefore/>
    </w:pPr>
  </w:style>
  <w:style w:type="paragraph" w:customStyle="1" w:styleId="Border">
    <w:name w:val="Border"/>
    <w:basedOn w:val="Normal"/>
    <w:qFormat/>
    <w:rsid w:val="00B72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ABA"/>
    <w:rPr>
      <w:u w:val="single"/>
    </w:rPr>
  </w:style>
  <w:style w:type="character" w:customStyle="1" w:styleId="BoldandItalics">
    <w:name w:val="Bold and Italics"/>
    <w:qFormat/>
    <w:rsid w:val="00B72ABA"/>
    <w:rPr>
      <w:b/>
      <w:i/>
      <w:u w:val="none"/>
    </w:rPr>
  </w:style>
  <w:style w:type="paragraph" w:styleId="BalloonText">
    <w:name w:val="Balloon Text"/>
    <w:basedOn w:val="Normal"/>
    <w:link w:val="BalloonTextChar"/>
    <w:rsid w:val="00B72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ABA"/>
    <w:pPr>
      <w:spacing w:before="0" w:after="0"/>
    </w:pPr>
  </w:style>
  <w:style w:type="paragraph" w:customStyle="1" w:styleId="BodyTextBold">
    <w:name w:val="Body Text Bold"/>
    <w:basedOn w:val="BodyText"/>
    <w:qFormat/>
    <w:rsid w:val="00B72ABA"/>
    <w:rPr>
      <w:b/>
    </w:rPr>
  </w:style>
  <w:style w:type="character" w:styleId="Hyperlink">
    <w:name w:val="Hyperlink"/>
    <w:basedOn w:val="DefaultParagraphFont"/>
    <w:uiPriority w:val="99"/>
    <w:unhideWhenUsed/>
    <w:rsid w:val="004C6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4013</Characters>
  <Application>Microsoft Office Word</Application>
  <DocSecurity>0</DocSecurity>
  <Lines>148</Lines>
  <Paragraphs>94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ICTDRE303 Install a complex digital reception system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