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15AB5" w:rsidP="00215A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ICTDBS402 Complete database backup and restore</w:t>
      </w:r>
      <w:r>
        <w:fldChar w:fldCharType="end"/>
      </w:r>
    </w:p>
    <w:p w:rsidR="00215AB5" w:rsidP="00215AB5">
      <w:pPr>
        <w:pStyle w:val="Version"/>
        <w:sectPr w:rsidSect="002E37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37AF" w:rsidP="002E37AF">
      <w:pPr>
        <w:pStyle w:val="SuperHeading"/>
      </w:pPr>
      <w:r w:rsidRPr="002E37AF">
        <w:t>ICTDBS402 Complete database backup and restore</w:t>
      </w:r>
    </w:p>
    <w:p w:rsidR="00000000" w:rsidRPr="002E37AF" w:rsidP="002E37AF">
      <w:pPr>
        <w:pStyle w:val="Heading1"/>
      </w:pPr>
      <w:bookmarkStart w:id="1" w:name="O_699574"/>
      <w:bookmarkEnd w:id="1"/>
      <w:r w:rsidRPr="002E37A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2E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AF" w:rsidP="002E37AF">
            <w:pPr>
              <w:pStyle w:val="BodyText"/>
            </w:pPr>
            <w:r w:rsidRPr="002E37AF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rPr>
                <w:rStyle w:val="SpecialBold"/>
              </w:rPr>
              <w:t>Comments</w:t>
            </w:r>
          </w:p>
        </w:tc>
      </w:tr>
      <w:tr w:rsidTr="002E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AF" w:rsidP="002E37AF">
            <w:pPr>
              <w:pStyle w:val="BodyText"/>
            </w:pPr>
            <w:r w:rsidRPr="002E37AF">
              <w:t>This version first released with ICT Information and Communications Technology Training Package Version 1.0.</w:t>
            </w:r>
          </w:p>
        </w:tc>
      </w:tr>
    </w:tbl>
    <w:p w:rsidR="00000000" w:rsidRPr="002E37AF" w:rsidP="002E37AF">
      <w:pPr>
        <w:pStyle w:val="BodyText"/>
      </w:pPr>
    </w:p>
    <w:p w:rsidR="00000000" w:rsidRPr="002E37AF" w:rsidP="002E37AF">
      <w:pPr>
        <w:pStyle w:val="AllowPageBreak"/>
      </w:pPr>
    </w:p>
    <w:p w:rsidR="00000000" w:rsidRPr="002E37AF" w:rsidP="002E37AF">
      <w:pPr>
        <w:pStyle w:val="Heading1"/>
      </w:pPr>
      <w:bookmarkStart w:id="2" w:name="O_699575"/>
      <w:bookmarkEnd w:id="2"/>
      <w:r w:rsidRPr="002E37AF">
        <w:t>Application</w:t>
      </w:r>
    </w:p>
    <w:p w:rsidR="00000000" w:rsidRPr="002E37AF" w:rsidP="002E37AF">
      <w:pPr>
        <w:pStyle w:val="BodyText"/>
      </w:pPr>
      <w:r w:rsidRPr="002E37AF">
        <w:t>This unit describes the skills and knowledge required to es</w:t>
      </w:r>
      <w:r w:rsidRPr="002E37AF">
        <w:t>tablish backup and recovery procedures, in accordance with organisational requirements, and consistent with the database architecture.</w:t>
      </w:r>
    </w:p>
    <w:p w:rsidR="00000000" w:rsidRPr="002E37AF" w:rsidP="002E37AF">
      <w:pPr>
        <w:pStyle w:val="BodyText"/>
      </w:pPr>
    </w:p>
    <w:p w:rsidR="00000000" w:rsidRPr="002E37AF" w:rsidP="002E37AF">
      <w:pPr>
        <w:pStyle w:val="BodyText"/>
      </w:pPr>
      <w:r w:rsidRPr="002E37AF">
        <w:t>It applies to individuals who are technical support personnel, such as help-desk supervisors, information and communicat</w:t>
      </w:r>
      <w:r w:rsidRPr="002E37AF">
        <w:t>ions technology (ICT) support technicians, database support technicians and user-support specialists.</w:t>
      </w:r>
    </w:p>
    <w:p w:rsidR="00000000" w:rsidRPr="002E37AF" w:rsidP="002E37AF">
      <w:pPr>
        <w:pStyle w:val="BodyText"/>
      </w:pPr>
    </w:p>
    <w:p w:rsidR="00000000" w:rsidRPr="002E37AF" w:rsidP="002E37AF">
      <w:pPr>
        <w:pStyle w:val="BodyText"/>
      </w:pPr>
      <w:r w:rsidRPr="002E37AF">
        <w:t>No licensing, legislative or certification requirements apply to this unit at the time of publication.</w:t>
      </w:r>
    </w:p>
    <w:p w:rsidR="00000000" w:rsidRPr="002E37AF" w:rsidP="002E37AF">
      <w:pPr>
        <w:pStyle w:val="AllowPageBreak"/>
      </w:pPr>
    </w:p>
    <w:p w:rsidR="00000000" w:rsidRPr="002E37AF" w:rsidP="002E37AF">
      <w:pPr>
        <w:pStyle w:val="Heading1"/>
      </w:pPr>
      <w:bookmarkStart w:id="3" w:name="O_699578"/>
      <w:bookmarkEnd w:id="3"/>
      <w:r w:rsidRPr="002E37AF">
        <w:t>Unit Sector</w:t>
      </w:r>
    </w:p>
    <w:p w:rsidR="00000000" w:rsidRPr="002E37AF" w:rsidP="002E37AF">
      <w:pPr>
        <w:pStyle w:val="BodyText"/>
      </w:pPr>
      <w:r w:rsidRPr="002E37AF">
        <w:t>Database</w:t>
      </w:r>
    </w:p>
    <w:p w:rsidR="00000000" w:rsidRPr="002E37AF" w:rsidP="002E37AF">
      <w:pPr>
        <w:pStyle w:val="AllowPageBreak"/>
      </w:pPr>
    </w:p>
    <w:p w:rsidR="00000000" w:rsidRPr="002E37AF" w:rsidP="002E37AF">
      <w:pPr>
        <w:pStyle w:val="Heading1"/>
      </w:pPr>
      <w:bookmarkStart w:id="4" w:name="O_699579"/>
      <w:bookmarkEnd w:id="4"/>
      <w:r w:rsidRPr="002E37A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2E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AF" w:rsidP="002E37AF">
            <w:pPr>
              <w:pStyle w:val="BodyText"/>
            </w:pPr>
            <w:r w:rsidRPr="002E37AF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rPr>
                <w:rStyle w:val="SpecialBold"/>
              </w:rPr>
              <w:t>PERFORMANCE CRITERIA</w:t>
            </w:r>
          </w:p>
        </w:tc>
      </w:tr>
      <w:tr w:rsidTr="002E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AF" w:rsidP="002E37AF">
            <w:pPr>
              <w:pStyle w:val="BodyText"/>
            </w:pPr>
            <w:r w:rsidRPr="002E37AF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E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1. Review the database architecture to plan backup and recovery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AF" w:rsidP="002E37AF">
            <w:pPr>
              <w:pStyle w:val="BodyText"/>
            </w:pPr>
            <w:r w:rsidRPr="002E37AF">
              <w:t>1.1 Examine the architecture of a database file system</w:t>
            </w:r>
          </w:p>
          <w:p w:rsidR="00000000" w:rsidRPr="002E37AF" w:rsidP="002E37AF">
            <w:pPr>
              <w:pStyle w:val="BodyText"/>
            </w:pPr>
            <w:r w:rsidRPr="002E37AF">
              <w:t>1.2 Determine the most appropriate methods for backup and recovery</w:t>
            </w:r>
          </w:p>
          <w:p w:rsidR="00000000" w:rsidRPr="002E37AF" w:rsidP="002E37AF">
            <w:pPr>
              <w:pStyle w:val="BodyText"/>
            </w:pPr>
            <w:r w:rsidRPr="002E37AF">
              <w:t>1.3 Identify and examine the likely or possible risk and failure scena</w:t>
            </w:r>
            <w:r w:rsidRPr="002E37AF">
              <w:t>rios</w:t>
            </w:r>
          </w:p>
          <w:p w:rsidR="00000000" w:rsidRPr="002E37AF" w:rsidP="002E37AF">
            <w:pPr>
              <w:pStyle w:val="BodyText"/>
            </w:pPr>
            <w:r w:rsidRPr="002E37AF">
              <w:t>1.4 Prepare a backup maintenance schedule</w:t>
            </w:r>
          </w:p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1.5 Prepare a contingency plan</w:t>
            </w:r>
          </w:p>
        </w:tc>
      </w:tr>
      <w:tr w:rsidTr="002E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2. Determine backup methods appropriate to database requirements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AF" w:rsidP="002E37AF">
            <w:pPr>
              <w:pStyle w:val="BodyText"/>
            </w:pPr>
            <w:r w:rsidRPr="002E37AF">
              <w:t>2.1 Evaluate the range of backup and restoration methods, b</w:t>
            </w:r>
            <w:r w:rsidRPr="002E37AF">
              <w:t>ased on organisational and security standards, and on the assessment of likely, or possible, failure scenarios</w:t>
            </w:r>
          </w:p>
          <w:p w:rsidR="00000000" w:rsidRPr="002E37AF" w:rsidP="002E37AF">
            <w:pPr>
              <w:pStyle w:val="BodyText"/>
            </w:pPr>
            <w:r w:rsidRPr="002E37AF">
              <w:t>2.2 Complete full off-line backups according to organisational and security standards, with minimal down time</w:t>
            </w:r>
          </w:p>
          <w:p w:rsidR="00000000" w:rsidRPr="002E37AF" w:rsidP="002E37AF">
            <w:pPr>
              <w:pStyle w:val="BodyText"/>
            </w:pPr>
            <w:r w:rsidRPr="002E37AF">
              <w:t>2.3 Complete online file backups, a</w:t>
            </w:r>
            <w:r w:rsidRPr="002E37AF">
              <w:t>s determined by organisational and security standards, with minimal down time</w:t>
            </w:r>
          </w:p>
          <w:p w:rsidR="00000000" w:rsidRPr="002E37AF" w:rsidP="002E37AF">
            <w:pPr>
              <w:pStyle w:val="BodyText"/>
            </w:pPr>
            <w:r w:rsidRPr="002E37AF">
              <w:t>2.4 Employ disk mirroring and redundant array of inexpensive disks (RAID) hard disk configurations to keep copies of files</w:t>
            </w:r>
          </w:p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2.5 Arrange off-site copies of backup files</w:t>
            </w:r>
          </w:p>
        </w:tc>
      </w:tr>
      <w:tr w:rsidTr="002E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3. Establi</w:t>
            </w:r>
            <w:r w:rsidRPr="002E37AF">
              <w:t>sh recovery points and disaster-recovery procedures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AF" w:rsidP="002E37AF">
            <w:pPr>
              <w:pStyle w:val="BodyText"/>
            </w:pPr>
            <w:r w:rsidRPr="002E37AF">
              <w:t>3.1 Determine database recovery points based on the backup arrangements, according to organisational guidelines</w:t>
            </w:r>
          </w:p>
          <w:p w:rsidR="00000000" w:rsidRPr="002E37AF" w:rsidP="002E37AF">
            <w:pPr>
              <w:pStyle w:val="BodyText"/>
            </w:pPr>
            <w:r w:rsidRPr="002E37AF">
              <w:t>3.2 Test the restore process to ensure that the database can be restored to a given recovery</w:t>
            </w:r>
            <w:r w:rsidRPr="002E37AF">
              <w:t xml:space="preserve"> point, with minimal down time</w:t>
            </w:r>
          </w:p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3.3 Complete the restoration of the database to the point of failure, without loss of committed transactions</w:t>
            </w:r>
          </w:p>
        </w:tc>
      </w:tr>
      <w:tr w:rsidTr="002E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4. Create and deploy a standby database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AF" w:rsidP="002E37AF">
            <w:pPr>
              <w:pStyle w:val="BodyText"/>
            </w:pPr>
            <w:r w:rsidRPr="002E37AF">
              <w:t>4.1 Create or set up a standby database, in order to meet organisational gu</w:t>
            </w:r>
            <w:r w:rsidRPr="002E37AF">
              <w:t>idelines</w:t>
            </w:r>
          </w:p>
          <w:p w:rsidR="00000000" w:rsidRPr="002E37AF" w:rsidP="002E37AF">
            <w:pPr>
              <w:pStyle w:val="BodyText"/>
            </w:pPr>
            <w:r w:rsidRPr="002E37AF">
              <w:t>4.2 Implement a standby database to support critical business functions</w:t>
            </w:r>
          </w:p>
          <w:p w:rsidR="00000000" w:rsidRPr="002E37AF" w:rsidP="002E37AF">
            <w:pPr>
              <w:pStyle w:val="BodyText"/>
            </w:pPr>
            <w:r w:rsidRPr="002E37AF">
              <w:t>4.3 Prepare the documentation for a standby database</w:t>
            </w:r>
          </w:p>
        </w:tc>
      </w:tr>
    </w:tbl>
    <w:p w:rsidR="00000000" w:rsidRPr="002E37AF" w:rsidP="002E37AF">
      <w:pPr>
        <w:pStyle w:val="BodyText"/>
      </w:pPr>
    </w:p>
    <w:p w:rsidR="00000000" w:rsidRPr="002E37AF" w:rsidP="002E37AF">
      <w:pPr>
        <w:pStyle w:val="AllowPageBreak"/>
      </w:pPr>
    </w:p>
    <w:p w:rsidR="00000000" w:rsidRPr="002E37AF" w:rsidP="002E37AF">
      <w:pPr>
        <w:pStyle w:val="Heading1"/>
      </w:pPr>
      <w:bookmarkStart w:id="5" w:name="O_699580"/>
      <w:bookmarkEnd w:id="5"/>
      <w:r w:rsidRPr="002E37AF">
        <w:t>Foundation Skills</w:t>
      </w:r>
    </w:p>
    <w:p w:rsidR="00000000" w:rsidRPr="002E37AF" w:rsidP="002E37AF">
      <w:pPr>
        <w:pStyle w:val="BodyText"/>
      </w:pPr>
      <w:r w:rsidRPr="002E37AF">
        <w:rPr>
          <w:rStyle w:val="Emphasis"/>
        </w:rPr>
        <w:t>This section describes language, literacy, numeracy and employment skills incorporate</w:t>
      </w:r>
      <w:r w:rsidRPr="002E37AF">
        <w:rPr>
          <w:rStyle w:val="Emphasis"/>
        </w:rPr>
        <w:t>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215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AF" w:rsidP="002E37AF">
            <w:pPr>
              <w:pStyle w:val="BodyText"/>
            </w:pPr>
            <w:r w:rsidRPr="002E37AF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AF" w:rsidP="002E37AF">
            <w:pPr>
              <w:pStyle w:val="BodyText"/>
            </w:pPr>
            <w:r w:rsidRPr="002E37AF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rPr>
                <w:rStyle w:val="SpecialBold"/>
              </w:rPr>
              <w:t>Description</w:t>
            </w:r>
          </w:p>
        </w:tc>
      </w:tr>
      <w:tr w:rsidTr="00215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1.1, 1.3, 2.1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ListBullet"/>
              <w:rPr>
                <w:lang w:val="en-NZ"/>
              </w:rPr>
            </w:pPr>
            <w:r w:rsidRPr="002E37AF">
              <w:t>Analyses complex textual information in order to evaluate a range of backup and restoration methods</w:t>
            </w:r>
          </w:p>
        </w:tc>
      </w:tr>
      <w:tr w:rsidTr="00215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1.4, 1.5, 4.3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AF" w:rsidP="002E37AF">
            <w:pPr>
              <w:pStyle w:val="ListBullet"/>
            </w:pPr>
            <w:r w:rsidRPr="002E37AF">
              <w:t>Uses technically specific language in developing plans and documentation</w:t>
            </w:r>
          </w:p>
          <w:p w:rsidR="00000000" w:rsidP="002E37AF">
            <w:pPr>
              <w:pStyle w:val="ListBullet"/>
              <w:rPr>
                <w:lang w:val="en-NZ"/>
              </w:rPr>
            </w:pPr>
            <w:r w:rsidRPr="002E37AF">
              <w:t xml:space="preserve">Articulates information, and presents this information, in a clear, concise, sequential and grammatically-correct manner, and in a writing style that is appropriate to </w:t>
            </w:r>
            <w:r w:rsidRPr="002E37AF">
              <w:t>the audience</w:t>
            </w:r>
          </w:p>
        </w:tc>
      </w:tr>
      <w:tr w:rsidTr="00215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1.2, 1.3, 1.4, 2.1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ListBullet"/>
              <w:rPr>
                <w:lang w:val="en-NZ"/>
              </w:rPr>
            </w:pPr>
            <w:r w:rsidRPr="002E37AF">
              <w:t>Facilitates successful discussions by employing effective listening, questioning and summarising skills to ensure that appropriate information is gathered</w:t>
            </w:r>
          </w:p>
        </w:tc>
      </w:tr>
      <w:tr w:rsidTr="00215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 xml:space="preserve">Navigate the world of work 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2.2, 2.3, 3.1, 4.1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ListBullet"/>
              <w:rPr>
                <w:lang w:val="en-NZ"/>
              </w:rPr>
            </w:pPr>
            <w:r w:rsidRPr="002E37AF">
              <w:t>Recognises and follows, both explicit and implicit protocols, and meets expectations associated with own role when complying with organisational and security standards, and guidelines</w:t>
            </w:r>
          </w:p>
        </w:tc>
      </w:tr>
      <w:tr w:rsidTr="00215AB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All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AF" w:rsidP="002E37AF">
            <w:pPr>
              <w:pStyle w:val="ListBullet"/>
            </w:pPr>
            <w:r w:rsidRPr="002E37AF">
              <w:t>Takes responsibility for planning, sequencing a</w:t>
            </w:r>
            <w:r w:rsidRPr="002E37AF">
              <w:t>nd prioritising tasks, and own workload for efficiency, and for effective outcomes</w:t>
            </w:r>
          </w:p>
          <w:p w:rsidR="00000000" w:rsidRPr="002E37AF" w:rsidP="002E37AF">
            <w:pPr>
              <w:pStyle w:val="ListBullet"/>
            </w:pPr>
            <w:r w:rsidRPr="002E37AF">
              <w:t>Makes routine decisions, and implements standard procedures, for routine tasks, using formal decision- making processes for more complex and non-routine situations</w:t>
            </w:r>
          </w:p>
          <w:p w:rsidR="00000000" w:rsidRPr="002E37AF" w:rsidP="002E37AF">
            <w:pPr>
              <w:pStyle w:val="ListBullet"/>
            </w:pPr>
            <w:r w:rsidRPr="002E37AF">
              <w:t>Addresses</w:t>
            </w:r>
            <w:r w:rsidRPr="002E37AF">
              <w:t xml:space="preserve"> less predictable problems and initiates standard procedures in response to these, applying problem-solving processes in determining a solution</w:t>
            </w:r>
          </w:p>
          <w:p w:rsidR="00000000" w:rsidRPr="002E37AF" w:rsidP="002E37AF">
            <w:pPr>
              <w:pStyle w:val="ListBullet"/>
            </w:pPr>
            <w:r w:rsidRPr="002E37AF">
              <w:t>Uses familiar digital technologies and systems to access information, search and enter data, and code, present i</w:t>
            </w:r>
            <w:r w:rsidRPr="002E37AF">
              <w:t>nformation. and communicate with others, cognisant of data security and safety</w:t>
            </w:r>
          </w:p>
        </w:tc>
      </w:tr>
    </w:tbl>
    <w:p w:rsidR="00000000" w:rsidRPr="002E37AF" w:rsidP="002E37AF">
      <w:pPr>
        <w:pStyle w:val="BodyText"/>
      </w:pPr>
    </w:p>
    <w:p w:rsidR="00000000" w:rsidRPr="002E37AF" w:rsidP="002E37AF">
      <w:pPr>
        <w:pStyle w:val="AllowPageBreak"/>
      </w:pPr>
    </w:p>
    <w:p w:rsidR="00000000" w:rsidRPr="002E37AF" w:rsidP="002E37AF">
      <w:pPr>
        <w:pStyle w:val="Heading1"/>
      </w:pPr>
      <w:bookmarkStart w:id="6" w:name="O_699582"/>
      <w:bookmarkEnd w:id="6"/>
      <w:r w:rsidRPr="002E37AF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0"/>
        <w:gridCol w:w="2310"/>
        <w:gridCol w:w="2295"/>
        <w:gridCol w:w="2160"/>
      </w:tblGrid>
      <w:tr w:rsidTr="002E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AF" w:rsidP="002E37AF">
            <w:pPr>
              <w:pStyle w:val="BodyText"/>
            </w:pPr>
            <w:r w:rsidRPr="002E37AF">
              <w:rPr>
                <w:rStyle w:val="SpecialBold"/>
              </w:rPr>
              <w:t>Code and title</w:t>
            </w:r>
          </w:p>
          <w:p w:rsidR="00000000" w:rsidRPr="002E37AF" w:rsidP="002E37AF">
            <w:pPr>
              <w:pStyle w:val="BodyText"/>
            </w:pPr>
            <w:r w:rsidRPr="002E37AF">
              <w:rPr>
                <w:rStyle w:val="SpecialBold"/>
              </w:rPr>
              <w:t>current version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AF" w:rsidP="002E37AF">
            <w:pPr>
              <w:pStyle w:val="BodyText"/>
            </w:pPr>
            <w:r w:rsidRPr="002E37AF">
              <w:rPr>
                <w:rStyle w:val="SpecialBold"/>
              </w:rPr>
              <w:t>Code and title</w:t>
            </w:r>
          </w:p>
          <w:p w:rsidR="00000000" w:rsidRPr="002E37AF" w:rsidP="002E37AF">
            <w:pPr>
              <w:pStyle w:val="BodyText"/>
            </w:pPr>
            <w:r w:rsidRPr="002E37AF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AF" w:rsidP="002E37AF">
            <w:pPr>
              <w:pStyle w:val="BodyText"/>
            </w:pPr>
            <w:r w:rsidRPr="002E37AF">
              <w:rPr>
                <w:rStyle w:val="SpecialBold"/>
              </w:rPr>
              <w:t>Comments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rPr>
                <w:rStyle w:val="SpecialBold"/>
              </w:rPr>
              <w:t>Equivalence status</w:t>
            </w:r>
          </w:p>
        </w:tc>
      </w:tr>
      <w:tr w:rsidTr="002E37A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ICTDBS402 Complete database backup and restore</w:t>
            </w:r>
          </w:p>
        </w:tc>
        <w:tc>
          <w:tcPr>
            <w:tcW w:w="23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ICADBS402A Complete database backup and restore</w:t>
            </w:r>
          </w:p>
        </w:tc>
        <w:tc>
          <w:tcPr>
            <w:tcW w:w="22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37AF">
            <w:pPr>
              <w:pStyle w:val="BodyText"/>
              <w:rPr>
                <w:lang w:val="en-NZ"/>
              </w:rPr>
            </w:pPr>
            <w:r w:rsidRPr="002E37AF">
              <w:t>Updated to meet Standards for Training Packages</w:t>
            </w:r>
          </w:p>
        </w:tc>
        <w:tc>
          <w:tcPr>
            <w:tcW w:w="21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37AF" w:rsidP="002E37AF">
            <w:pPr>
              <w:pStyle w:val="BodyText"/>
            </w:pPr>
            <w:r w:rsidRPr="002E37AF">
              <w:t>Equivalent unit</w:t>
            </w:r>
          </w:p>
        </w:tc>
      </w:tr>
    </w:tbl>
    <w:p w:rsidR="00000000" w:rsidRPr="002E37AF" w:rsidP="002E37AF">
      <w:pPr>
        <w:pStyle w:val="BodyText"/>
      </w:pPr>
    </w:p>
    <w:p w:rsidR="00000000" w:rsidRPr="002E37AF" w:rsidP="002E37AF">
      <w:pPr>
        <w:pStyle w:val="AllowPageBreak"/>
      </w:pPr>
    </w:p>
    <w:p w:rsidR="00000000" w:rsidRPr="002E37AF" w:rsidP="002E37AF">
      <w:pPr>
        <w:pStyle w:val="Heading1"/>
      </w:pPr>
      <w:bookmarkStart w:id="7" w:name="O_699589"/>
      <w:bookmarkEnd w:id="7"/>
      <w:r w:rsidRPr="002E37AF">
        <w:t>Links</w:t>
      </w:r>
    </w:p>
    <w:p w:rsidR="00000000" w:rsidRPr="002E37AF" w:rsidP="002E37AF">
      <w:pPr>
        <w:pStyle w:val="BodyText"/>
      </w:pPr>
      <w:r w:rsidRPr="002E37AF">
        <w:t>Companion volumes available from the IBSA website: http://www.ibsa.org.au/companion_volumes - https://vetnet.education.gov.au/Pages/TrainingDocs.aspx?q=a53af4e4-b400-484e-b778-71c9e9d6aff2</w:t>
      </w:r>
    </w:p>
    <w:p w:rsidR="00000000" w:rsidRPr="002E37AF" w:rsidP="002E37AF"/>
    <w:sectPr w:rsidSect="002E37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7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7AF" w:rsidRPr="00215AB5" w:rsidP="00215A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7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B5" w:rsidP="002E37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15AB5" w:rsidP="002E37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215AB5" w:rsidP="002E37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7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7AF" w:rsidRPr="00215AB5" w:rsidP="00215AB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7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5AB5" w:rsidRPr="002D2AF8" w:rsidP="002E37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ICTDBS402 Complete database backup and restore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September 2016</w:t>
    </w:r>
    <w:r>
      <w:fldChar w:fldCharType="end"/>
    </w:r>
  </w:p>
  <w:p w:rsidR="00215AB5" w:rsidP="002E37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9062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7AE8F3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37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37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37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37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37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37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37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37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37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37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37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37AF"/>
  </w:style>
  <w:style w:type="character" w:customStyle="1" w:styleId="Heading1Char">
    <w:name w:val="Heading 1 Char"/>
    <w:basedOn w:val="DefaultParagraphFont"/>
    <w:link w:val="Heading1"/>
    <w:rsid w:val="002E37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37AF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37A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37A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E37AF"/>
    <w:rPr>
      <w:b/>
      <w:spacing w:val="0"/>
    </w:rPr>
  </w:style>
  <w:style w:type="character" w:styleId="Emphasis">
    <w:name w:val="Emphasis"/>
    <w:basedOn w:val="DefaultParagraphFont"/>
    <w:qFormat/>
    <w:rsid w:val="002E37AF"/>
    <w:rPr>
      <w:i/>
    </w:rPr>
  </w:style>
  <w:style w:type="paragraph" w:customStyle="1" w:styleId="SuperHeading">
    <w:name w:val="SuperHeading"/>
    <w:basedOn w:val="Normal"/>
    <w:rsid w:val="002E37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37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E37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37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37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3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37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3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37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37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37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37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37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37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37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37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37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37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37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37A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37A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37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E37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37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37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37A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37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37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37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37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37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37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37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37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37A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37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37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37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37AF"/>
  </w:style>
  <w:style w:type="paragraph" w:styleId="TableofFigures">
    <w:name w:val="table of figures"/>
    <w:basedOn w:val="Normal"/>
    <w:next w:val="Normal"/>
    <w:semiHidden/>
    <w:rsid w:val="002E37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37AF"/>
    <w:pPr>
      <w:numPr>
        <w:numId w:val="10"/>
      </w:numPr>
    </w:pPr>
  </w:style>
  <w:style w:type="character" w:customStyle="1" w:styleId="WingdingSymbols">
    <w:name w:val="Wingding Symbols"/>
    <w:rsid w:val="002E37AF"/>
    <w:rPr>
      <w:rFonts w:ascii="Wingdings" w:hAnsi="Wingdings"/>
    </w:rPr>
  </w:style>
  <w:style w:type="paragraph" w:customStyle="1" w:styleId="TableHeading">
    <w:name w:val="Table Heading"/>
    <w:basedOn w:val="HeadingBase"/>
    <w:rsid w:val="002E37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37AF"/>
    <w:rPr>
      <w:color w:val="0033CC"/>
      <w:u w:val="none"/>
    </w:rPr>
  </w:style>
  <w:style w:type="paragraph" w:customStyle="1" w:styleId="BodyTextRight">
    <w:name w:val="Body Text Right"/>
    <w:basedOn w:val="BodyText"/>
    <w:rsid w:val="002E37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37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37A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37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37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37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37AF"/>
    <w:rPr>
      <w:sz w:val="32"/>
    </w:rPr>
  </w:style>
  <w:style w:type="paragraph" w:customStyle="1" w:styleId="HeadingProcedure">
    <w:name w:val="Heading Procedure"/>
    <w:basedOn w:val="HeadingBase"/>
    <w:next w:val="Normal"/>
    <w:rsid w:val="002E37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37AF"/>
    <w:pPr>
      <w:spacing w:before="60" w:after="60"/>
    </w:pPr>
  </w:style>
  <w:style w:type="paragraph" w:styleId="ListContinue">
    <w:name w:val="List Continue"/>
    <w:basedOn w:val="List"/>
    <w:rsid w:val="002E37AF"/>
    <w:pPr>
      <w:ind w:firstLine="0"/>
    </w:pPr>
  </w:style>
  <w:style w:type="paragraph" w:customStyle="1" w:styleId="ListNote">
    <w:name w:val="List Note"/>
    <w:basedOn w:val="List"/>
    <w:rsid w:val="002E37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37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37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37AF"/>
    <w:rPr>
      <w:rFonts w:ascii="Courier New" w:hAnsi="Courier New"/>
    </w:rPr>
  </w:style>
  <w:style w:type="paragraph" w:customStyle="1" w:styleId="NoteBullet">
    <w:name w:val="Note Bullet"/>
    <w:basedOn w:val="Note"/>
    <w:rsid w:val="002E37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37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37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37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37A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E37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37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37AF"/>
    <w:rPr>
      <w:b/>
      <w:smallCaps/>
    </w:rPr>
  </w:style>
  <w:style w:type="paragraph" w:customStyle="1" w:styleId="TableListNumber">
    <w:name w:val="Table List Number"/>
    <w:basedOn w:val="ListNumber"/>
    <w:rsid w:val="002E37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37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37AF"/>
    <w:pPr>
      <w:numPr>
        <w:numId w:val="8"/>
      </w:numPr>
    </w:pPr>
  </w:style>
  <w:style w:type="paragraph" w:customStyle="1" w:styleId="ListAlpha2">
    <w:name w:val="List Alpha 2"/>
    <w:basedOn w:val="List2"/>
    <w:rsid w:val="002E37AF"/>
    <w:pPr>
      <w:numPr>
        <w:numId w:val="7"/>
      </w:numPr>
    </w:pPr>
  </w:style>
  <w:style w:type="paragraph" w:styleId="List2">
    <w:name w:val="List 2"/>
    <w:basedOn w:val="BodyText"/>
    <w:rsid w:val="002E37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37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37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37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37A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37A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37AF"/>
    <w:pPr>
      <w:numPr>
        <w:numId w:val="3"/>
      </w:numPr>
    </w:pPr>
  </w:style>
  <w:style w:type="paragraph" w:styleId="ListContinue2">
    <w:name w:val="List Continue 2"/>
    <w:basedOn w:val="List2"/>
    <w:rsid w:val="002E37AF"/>
    <w:pPr>
      <w:ind w:firstLine="0"/>
    </w:pPr>
  </w:style>
  <w:style w:type="paragraph" w:styleId="ListContinue3">
    <w:name w:val="List Continue 3"/>
    <w:basedOn w:val="List3"/>
    <w:rsid w:val="002E37AF"/>
    <w:pPr>
      <w:ind w:left="1021" w:firstLine="0"/>
    </w:pPr>
  </w:style>
  <w:style w:type="paragraph" w:styleId="ListContinue4">
    <w:name w:val="List Continue 4"/>
    <w:basedOn w:val="List4"/>
    <w:rsid w:val="002E37AF"/>
    <w:pPr>
      <w:ind w:firstLine="0"/>
    </w:pPr>
  </w:style>
  <w:style w:type="paragraph" w:styleId="ListContinue5">
    <w:name w:val="List Continue 5"/>
    <w:basedOn w:val="List5"/>
    <w:rsid w:val="002E37AF"/>
    <w:pPr>
      <w:ind w:firstLine="0"/>
    </w:pPr>
  </w:style>
  <w:style w:type="paragraph" w:styleId="ListNumber3">
    <w:name w:val="List Number 3"/>
    <w:basedOn w:val="List3"/>
    <w:rsid w:val="002E37AF"/>
    <w:pPr>
      <w:numPr>
        <w:numId w:val="4"/>
      </w:numPr>
    </w:pPr>
  </w:style>
  <w:style w:type="paragraph" w:styleId="ListNumber4">
    <w:name w:val="List Number 4"/>
    <w:basedOn w:val="List4"/>
    <w:rsid w:val="002E37AF"/>
    <w:pPr>
      <w:numPr>
        <w:numId w:val="5"/>
      </w:numPr>
    </w:pPr>
  </w:style>
  <w:style w:type="paragraph" w:styleId="ListNumber5">
    <w:name w:val="List Number 5"/>
    <w:basedOn w:val="List5"/>
    <w:rsid w:val="002E37AF"/>
    <w:pPr>
      <w:numPr>
        <w:numId w:val="6"/>
      </w:numPr>
    </w:pPr>
  </w:style>
  <w:style w:type="paragraph" w:styleId="BlockText">
    <w:name w:val="Block Text"/>
    <w:basedOn w:val="Normal"/>
    <w:rsid w:val="002E37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37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37AF"/>
    <w:rPr>
      <w:sz w:val="16"/>
      <w:vertAlign w:val="superscript"/>
    </w:rPr>
  </w:style>
  <w:style w:type="character" w:customStyle="1" w:styleId="Symbols">
    <w:name w:val="Symbols"/>
    <w:basedOn w:val="DefaultParagraphFont"/>
    <w:rsid w:val="002E37AF"/>
    <w:rPr>
      <w:rFonts w:ascii="Symbol" w:hAnsi="Symbol"/>
    </w:rPr>
  </w:style>
  <w:style w:type="character" w:customStyle="1" w:styleId="MenuOptions">
    <w:name w:val="Menu Options"/>
    <w:basedOn w:val="DefaultParagraphFont"/>
    <w:rsid w:val="002E37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37AF"/>
    <w:rPr>
      <w:b/>
    </w:rPr>
  </w:style>
  <w:style w:type="character" w:customStyle="1" w:styleId="Underlined">
    <w:name w:val="Underlined"/>
    <w:basedOn w:val="DefaultParagraphFont"/>
    <w:rsid w:val="002E37AF"/>
    <w:rPr>
      <w:u w:val="single"/>
    </w:rPr>
  </w:style>
  <w:style w:type="paragraph" w:customStyle="1" w:styleId="TableBodyTextRight">
    <w:name w:val="Table Body Text Right"/>
    <w:basedOn w:val="TableBodyText"/>
    <w:rsid w:val="002E37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37AF"/>
    <w:rPr>
      <w:sz w:val="18"/>
    </w:rPr>
  </w:style>
  <w:style w:type="paragraph" w:customStyle="1" w:styleId="BodySmallRight">
    <w:name w:val="Body Small Right"/>
    <w:basedOn w:val="BodyTextRight"/>
    <w:rsid w:val="002E37AF"/>
    <w:rPr>
      <w:sz w:val="18"/>
      <w:szCs w:val="18"/>
    </w:rPr>
  </w:style>
  <w:style w:type="paragraph" w:customStyle="1" w:styleId="MarginEdition">
    <w:name w:val="Margin Edition"/>
    <w:basedOn w:val="MarginNote"/>
    <w:rsid w:val="002E37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37AF"/>
    <w:rPr>
      <w:sz w:val="2"/>
      <w:szCs w:val="2"/>
    </w:rPr>
  </w:style>
  <w:style w:type="character" w:customStyle="1" w:styleId="Small">
    <w:name w:val="Small"/>
    <w:basedOn w:val="DefaultParagraphFont"/>
    <w:rsid w:val="002E37AF"/>
    <w:rPr>
      <w:sz w:val="16"/>
    </w:rPr>
  </w:style>
  <w:style w:type="paragraph" w:customStyle="1" w:styleId="WideTable">
    <w:name w:val="Wide Table"/>
    <w:basedOn w:val="Normal"/>
    <w:rsid w:val="002E37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37AF"/>
  </w:style>
  <w:style w:type="paragraph" w:styleId="Quote">
    <w:name w:val="Quote"/>
    <w:basedOn w:val="Heading1"/>
    <w:link w:val="QuoteChar"/>
    <w:qFormat/>
    <w:rsid w:val="002E37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37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37AF"/>
    <w:pPr>
      <w:pageBreakBefore/>
    </w:pPr>
  </w:style>
  <w:style w:type="paragraph" w:customStyle="1" w:styleId="Border">
    <w:name w:val="Border"/>
    <w:basedOn w:val="Normal"/>
    <w:qFormat/>
    <w:rsid w:val="002E37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37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7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7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37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37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37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37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37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37AF"/>
    <w:rPr>
      <w:u w:val="single"/>
    </w:rPr>
  </w:style>
  <w:style w:type="character" w:customStyle="1" w:styleId="BoldandItalics">
    <w:name w:val="Bold and Italics"/>
    <w:qFormat/>
    <w:rsid w:val="002E37AF"/>
    <w:rPr>
      <w:b/>
      <w:i/>
      <w:u w:val="none"/>
    </w:rPr>
  </w:style>
  <w:style w:type="paragraph" w:styleId="BalloonText">
    <w:name w:val="Balloon Text"/>
    <w:basedOn w:val="Normal"/>
    <w:link w:val="BalloonTextChar"/>
    <w:rsid w:val="002E37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37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37AF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37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37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37AF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646</Words>
  <Characters>4160</Characters>
  <Application>Microsoft Office Word</Application>
  <DocSecurity>0</DocSecurity>
  <Lines>149</Lines>
  <Paragraphs>76</Paragraphs>
  <ScaleCrop>false</ScaleCrop>
  <Company>Author-it Software Corporation Ltd.</Company>
  <LinksUpToDate>false</LinksUpToDate>
  <CharactersWithSpaces>4739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ICTDBS402 Complete database backup and restore</dc:title>
  <dc:subject>Approved</dc:subject>
  <dc:creator>Innovation and Business Skills Australia</dc:creator>
  <cp:keywords>Release: 1</cp:keywords>
  <dc:description>Review Date: 12 April 2008</dc:description>
  <cp:lastModifiedBy>TPCMS</cp:lastModifiedBy>
  <cp:revision>3</cp:revision>
  <dcterms:created xsi:type="dcterms:W3CDTF">2016-09-13T08:18:00Z</dcterms:created>
  <dcterms:modified xsi:type="dcterms:W3CDTF">2016-09-13T08:18:00Z</dcterms:modified>
</cp:coreProperties>
</file>