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31CA" w:rsidP="008C31CA">
      <w:pPr>
        <w:pStyle w:val="Title"/>
      </w:pPr>
      <w:r>
        <w:fldChar w:fldCharType="begin"/>
      </w:r>
      <w:r>
        <w:instrText xml:space="preserve"> TITLE   \* MERGEFORMAT </w:instrText>
      </w:r>
      <w:r>
        <w:fldChar w:fldCharType="separate"/>
      </w:r>
      <w:r>
        <w:t>ICTCMP203 Perform restricted customer premises broadband cabling work: ACMA Restricted Rule</w:t>
      </w:r>
      <w:r>
        <w:fldChar w:fldCharType="end"/>
      </w:r>
    </w:p>
    <w:p w:rsidR="008C31CA" w:rsidP="008C31CA">
      <w:pPr>
        <w:pStyle w:val="Version"/>
        <w:sectPr w:rsidSect="00EE59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59B6" w:rsidP="00EE59B6">
      <w:pPr>
        <w:pStyle w:val="SuperHeading"/>
      </w:pPr>
      <w:r w:rsidRPr="00EE59B6">
        <w:t>ICTCMP203 Perform restricted customer premises broadband cabling work: ACMA Restricted Rule</w:t>
      </w:r>
    </w:p>
    <w:p w:rsidR="00000000" w:rsidRPr="00EE59B6" w:rsidP="00EE59B6">
      <w:pPr>
        <w:pStyle w:val="Heading1"/>
      </w:pPr>
      <w:bookmarkStart w:id="1" w:name="O_1042909"/>
      <w:bookmarkEnd w:id="1"/>
      <w:r w:rsidRPr="00EE59B6">
        <w:t>Modification History</w:t>
      </w:r>
    </w:p>
    <w:tbl>
      <w:tblPr>
        <w:tblW w:w="9522" w:type="dxa"/>
        <w:tblLayout w:type="fixed"/>
        <w:tblCellMar>
          <w:left w:w="62" w:type="dxa"/>
          <w:right w:w="62" w:type="dxa"/>
        </w:tblCellMar>
        <w:tblLook w:val="0000"/>
      </w:tblPr>
      <w:tblGrid>
        <w:gridCol w:w="1785"/>
        <w:gridCol w:w="7737"/>
      </w:tblGrid>
      <w:tr w:rsidTr="00EE59B6">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9B6" w:rsidP="00EE59B6">
            <w:pPr>
              <w:pStyle w:val="BodyText"/>
            </w:pPr>
            <w:r w:rsidRPr="00EE59B6">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9B6">
            <w:pPr>
              <w:pStyle w:val="BodyText"/>
              <w:rPr>
                <w:lang w:val="en-NZ"/>
              </w:rPr>
            </w:pPr>
            <w:r w:rsidRPr="00EE59B6">
              <w:rPr>
                <w:rStyle w:val="SpecialBold"/>
              </w:rPr>
              <w:t>Comments</w:t>
            </w:r>
          </w:p>
        </w:tc>
      </w:tr>
      <w:tr w:rsidTr="00EE59B6">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9B6">
            <w:pPr>
              <w:pStyle w:val="BodyText"/>
              <w:rPr>
                <w:lang w:val="en-NZ"/>
              </w:rPr>
            </w:pPr>
            <w:r w:rsidRPr="00EE59B6">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9B6" w:rsidP="00EE59B6">
            <w:pPr>
              <w:pStyle w:val="BodyText"/>
            </w:pPr>
            <w:r w:rsidRPr="00EE59B6">
              <w:t>This version released with ICT Information and Communications Technology Training Package Version 5.0.</w:t>
            </w:r>
          </w:p>
        </w:tc>
      </w:tr>
    </w:tbl>
    <w:p w:rsidR="008C31CA" w:rsidP="00EE59B6">
      <w:pPr>
        <w:pStyle w:val="BodyText"/>
      </w:pPr>
    </w:p>
    <w:p w:rsidR="008C31CA" w:rsidP="00EE59B6">
      <w:pPr>
        <w:pStyle w:val="BodyText"/>
      </w:pPr>
    </w:p>
    <w:p w:rsidR="00000000" w:rsidRPr="00EE59B6" w:rsidP="00EE59B6">
      <w:pPr>
        <w:pStyle w:val="Heading1"/>
      </w:pPr>
      <w:bookmarkStart w:id="2" w:name="O_1042915"/>
      <w:bookmarkEnd w:id="2"/>
      <w:r w:rsidRPr="00EE59B6">
        <w:t>Application</w:t>
      </w:r>
    </w:p>
    <w:p w:rsidR="00000000" w:rsidRPr="00EE59B6" w:rsidP="008C31CA">
      <w:pPr>
        <w:pStyle w:val="BodyText"/>
      </w:pPr>
      <w:r w:rsidRPr="00EE59B6">
        <w:t>This unit describes the skills and knowledge required to install simple point-to-point broadband cabling on customer pr</w:t>
      </w:r>
      <w:r w:rsidRPr="00EE59B6">
        <w:t>emises.</w:t>
      </w:r>
    </w:p>
    <w:p w:rsidR="00000000" w:rsidRPr="00EE59B6" w:rsidP="008C31CA">
      <w:pPr>
        <w:pStyle w:val="BodyText"/>
      </w:pPr>
      <w:r w:rsidRPr="00EE59B6">
        <w:t>The unit applies to technical staff who install and terminate new installations or upgrades, or maintain existing networks in domestic premises. These may include small offices, home offices and small commercial premises that do not have a main dis</w:t>
      </w:r>
      <w:r w:rsidRPr="00EE59B6">
        <w:t xml:space="preserve">tribution frame (MDF) or jumperable distributor as the network boundary point. </w:t>
      </w:r>
    </w:p>
    <w:p w:rsidR="00000000" w:rsidRPr="00EE59B6" w:rsidP="008C31CA">
      <w:pPr>
        <w:pStyle w:val="BodyText"/>
      </w:pPr>
      <w:r w:rsidRPr="00EE59B6">
        <w:t xml:space="preserve">Licensing, legislative, regulatory and certification requirements apply to telecommunications systems. Work functions in the occupational areas where this unit may be used are </w:t>
      </w:r>
      <w:r w:rsidRPr="00EE59B6">
        <w:t>subject to regulatory requirements. All customer cabling work in the telecommunications, fire, security and data industries must be performed by a registered cabler. All cablers are required to register with an Australian Communications and Media Authority</w:t>
      </w:r>
      <w:r w:rsidRPr="00EE59B6">
        <w:t xml:space="preserve"> (ACMA) accredited registrar. Refer to the ICT Information and Communications Technology Training Package Companion Volume Implementation Guide or the relevant regulator for details of licensing, legislative or certification requirements.</w:t>
      </w:r>
    </w:p>
    <w:p w:rsidR="00000000" w:rsidRPr="00EE59B6" w:rsidP="00EE59B6">
      <w:pPr>
        <w:pStyle w:val="Heading1"/>
      </w:pPr>
      <w:bookmarkStart w:id="3" w:name="O_1042914"/>
      <w:bookmarkEnd w:id="3"/>
      <w:r w:rsidRPr="00EE59B6">
        <w:t>Pre-requisite Unit</w:t>
      </w:r>
    </w:p>
    <w:p w:rsidR="00000000" w:rsidRPr="00EE59B6" w:rsidP="008C31CA">
      <w:pPr>
        <w:pStyle w:val="BodyText"/>
      </w:pPr>
      <w:r w:rsidRPr="00EE59B6">
        <w:t>ICTCBL246 Install, maintain and modify customer premises communications cabling: ACMA Restricted Rule</w:t>
      </w:r>
    </w:p>
    <w:p w:rsidR="00000000" w:rsidRPr="00EE59B6" w:rsidP="008C31CA">
      <w:pPr>
        <w:pStyle w:val="Heading3"/>
      </w:pPr>
      <w:r w:rsidRPr="00EE59B6">
        <w:t>OR</w:t>
      </w:r>
    </w:p>
    <w:p w:rsidR="00000000" w:rsidRPr="00EE59B6" w:rsidP="008C31CA">
      <w:pPr>
        <w:pStyle w:val="List"/>
      </w:pPr>
      <w:r w:rsidRPr="00EE59B6">
        <w:t>ICTCBL239 Install customer cable support systems</w:t>
      </w:r>
    </w:p>
    <w:p w:rsidR="00000000" w:rsidRPr="00EE59B6" w:rsidP="008C31CA">
      <w:pPr>
        <w:pStyle w:val="List"/>
      </w:pPr>
      <w:r w:rsidRPr="00EE59B6">
        <w:t>and ICTCBL240 Place and secure customer cable</w:t>
      </w:r>
    </w:p>
    <w:p w:rsidR="00000000" w:rsidRPr="00EE59B6" w:rsidP="008C31CA">
      <w:pPr>
        <w:pStyle w:val="List"/>
      </w:pPr>
      <w:r w:rsidRPr="00EE59B6">
        <w:t>and ICTCBL241 Terminate metallic co</w:t>
      </w:r>
      <w:r w:rsidRPr="00EE59B6">
        <w:t>nductor customer cable</w:t>
      </w:r>
    </w:p>
    <w:p w:rsidR="00000000" w:rsidRPr="00EE59B6" w:rsidP="008C31CA">
      <w:pPr>
        <w:pStyle w:val="BodyText"/>
      </w:pPr>
      <w:r w:rsidRPr="00EE59B6">
        <w:t>and ICTCMP201 Organise and monitor cabling to ensure compliance with regulatory and industry standards</w:t>
      </w:r>
    </w:p>
    <w:p w:rsidR="00000000" w:rsidRPr="00EE59B6" w:rsidP="00EE59B6">
      <w:pPr>
        <w:pStyle w:val="Heading1"/>
      </w:pPr>
      <w:bookmarkStart w:id="4" w:name="O_1042913"/>
      <w:bookmarkEnd w:id="4"/>
      <w:r w:rsidRPr="00EE59B6">
        <w:t>Unit Sector</w:t>
      </w:r>
    </w:p>
    <w:p w:rsidR="00000000" w:rsidRPr="00EE59B6" w:rsidP="008C31CA">
      <w:pPr>
        <w:pStyle w:val="BodyText"/>
      </w:pPr>
      <w:r w:rsidRPr="00EE59B6">
        <w:t>Telecommunications – Compliance</w:t>
      </w:r>
    </w:p>
    <w:p w:rsidR="00000000" w:rsidRPr="00EE59B6" w:rsidP="00EE59B6">
      <w:pPr>
        <w:pStyle w:val="Heading1"/>
      </w:pPr>
      <w:bookmarkStart w:id="5" w:name="O_1042912"/>
      <w:bookmarkEnd w:id="5"/>
      <w:r w:rsidRPr="00EE59B6">
        <w:t>Elements and Performance Criteria</w:t>
      </w:r>
    </w:p>
    <w:tbl>
      <w:tblPr>
        <w:tblW w:w="9568" w:type="dxa"/>
        <w:tblLayout w:type="fixed"/>
        <w:tblCellMar>
          <w:left w:w="62" w:type="dxa"/>
          <w:right w:w="62" w:type="dxa"/>
        </w:tblCellMar>
        <w:tblLook w:val="0000"/>
      </w:tblPr>
      <w:tblGrid>
        <w:gridCol w:w="2062"/>
        <w:gridCol w:w="7506"/>
      </w:tblGrid>
      <w:tr w:rsidTr="00EE59B6">
        <w:tblPrEx>
          <w:tblW w:w="9568" w:type="dxa"/>
          <w:tblLayout w:type="fixed"/>
          <w:tblCellMar>
            <w:left w:w="62" w:type="dxa"/>
            <w:right w:w="62" w:type="dxa"/>
          </w:tblCellMar>
          <w:tblLook w:val="0000"/>
        </w:tblPrEx>
        <w:tc>
          <w:tcPr>
            <w:tcW w:w="2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9B6" w:rsidP="00EE59B6">
            <w:pPr>
              <w:pStyle w:val="BodyText"/>
            </w:pPr>
            <w:r w:rsidRPr="00EE59B6">
              <w:rPr>
                <w:rStyle w:val="SpecialBold"/>
              </w:rPr>
              <w:t>Element</w:t>
            </w:r>
          </w:p>
        </w:tc>
        <w:tc>
          <w:tcPr>
            <w:tcW w:w="7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9B6">
            <w:pPr>
              <w:pStyle w:val="BodyText"/>
              <w:rPr>
                <w:lang w:val="en-NZ"/>
              </w:rPr>
            </w:pPr>
            <w:r w:rsidRPr="00EE59B6">
              <w:rPr>
                <w:rStyle w:val="SpecialBold"/>
              </w:rPr>
              <w:t>Performance Criteria</w:t>
            </w:r>
          </w:p>
        </w:tc>
      </w:tr>
      <w:tr w:rsidTr="00EE59B6">
        <w:tblPrEx>
          <w:tblW w:w="9568" w:type="dxa"/>
          <w:tblLayout w:type="fixed"/>
          <w:tblCellMar>
            <w:left w:w="62" w:type="dxa"/>
            <w:right w:w="62" w:type="dxa"/>
          </w:tblCellMar>
          <w:tblLook w:val="0000"/>
        </w:tblPrEx>
        <w:tc>
          <w:tcPr>
            <w:tcW w:w="2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9B6" w:rsidP="00EE59B6">
            <w:pPr>
              <w:pStyle w:val="BodyText"/>
            </w:pPr>
            <w:r w:rsidRPr="00EE59B6">
              <w:rPr>
                <w:rStyle w:val="Emphasis"/>
              </w:rPr>
              <w:t>Elements describe the essential outcomes.</w:t>
            </w:r>
          </w:p>
        </w:tc>
        <w:tc>
          <w:tcPr>
            <w:tcW w:w="7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9B6">
            <w:pPr>
              <w:pStyle w:val="BodyText"/>
              <w:rPr>
                <w:lang w:val="en-NZ"/>
              </w:rPr>
            </w:pPr>
            <w:r w:rsidRPr="00EE59B6">
              <w:rPr>
                <w:rStyle w:val="Emphasis"/>
              </w:rPr>
              <w:t xml:space="preserve">Performance criteria describe the performance needed to demonstrate achievement of the element. </w:t>
            </w:r>
          </w:p>
        </w:tc>
      </w:tr>
      <w:tr w:rsidTr="00EE59B6">
        <w:tblPrEx>
          <w:tblW w:w="9568" w:type="dxa"/>
          <w:tblLayout w:type="fixed"/>
          <w:tblCellMar>
            <w:left w:w="62" w:type="dxa"/>
            <w:right w:w="62" w:type="dxa"/>
          </w:tblCellMar>
          <w:tblLook w:val="0000"/>
        </w:tblPrEx>
        <w:trPr>
          <w:trHeight w:val="1575"/>
        </w:trPr>
        <w:tc>
          <w:tcPr>
            <w:tcW w:w="2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9B6">
            <w:pPr>
              <w:pStyle w:val="BodyText"/>
              <w:rPr>
                <w:lang w:val="en-NZ"/>
              </w:rPr>
            </w:pPr>
            <w:r w:rsidRPr="00EE59B6">
              <w:t>1. Prepare for installation</w:t>
            </w:r>
          </w:p>
        </w:tc>
        <w:tc>
          <w:tcPr>
            <w:tcW w:w="7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9B6" w:rsidP="00EE59B6">
            <w:pPr>
              <w:pStyle w:val="BodyText"/>
            </w:pPr>
            <w:r w:rsidRPr="00EE59B6">
              <w:t>1.1 Access site according to enterprise procedures</w:t>
            </w:r>
          </w:p>
          <w:p w:rsidR="00000000" w:rsidRPr="00EE59B6" w:rsidP="00EE59B6">
            <w:pPr>
              <w:pStyle w:val="BodyText"/>
            </w:pPr>
            <w:r w:rsidRPr="00EE59B6">
              <w:t>1.2 Organise to</w:t>
            </w:r>
            <w:r w:rsidRPr="00EE59B6">
              <w:t>ols and equipment for specialised broadband cabling for restricted cabling work</w:t>
            </w:r>
          </w:p>
          <w:p w:rsidR="00000000" w:rsidRPr="00EE59B6" w:rsidP="00EE59B6">
            <w:pPr>
              <w:pStyle w:val="BodyText"/>
            </w:pPr>
            <w:r w:rsidRPr="00EE59B6">
              <w:t>1.3 Review site according to work health and safety (WHS) and environmental requirements and identify hazards</w:t>
            </w:r>
          </w:p>
          <w:p w:rsidR="00000000" w:rsidP="00EE59B6">
            <w:pPr>
              <w:pStyle w:val="BodyText"/>
              <w:rPr>
                <w:lang w:val="en-NZ"/>
              </w:rPr>
            </w:pPr>
            <w:r w:rsidRPr="00EE59B6">
              <w:t>14 Determine cable route and cabling environment meet manufacturer</w:t>
            </w:r>
            <w:r w:rsidRPr="00EE59B6">
              <w:t xml:space="preserve"> specifications, industry standards and regulatory requirements</w:t>
            </w:r>
          </w:p>
        </w:tc>
      </w:tr>
      <w:tr w:rsidTr="00EE59B6">
        <w:tblPrEx>
          <w:tblW w:w="9568" w:type="dxa"/>
          <w:tblLayout w:type="fixed"/>
          <w:tblCellMar>
            <w:left w:w="62" w:type="dxa"/>
            <w:right w:w="62" w:type="dxa"/>
          </w:tblCellMar>
          <w:tblLook w:val="0000"/>
        </w:tblPrEx>
        <w:trPr>
          <w:trHeight w:val="1575"/>
        </w:trPr>
        <w:tc>
          <w:tcPr>
            <w:tcW w:w="2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9B6">
            <w:pPr>
              <w:pStyle w:val="BodyText"/>
              <w:rPr>
                <w:lang w:val="en-NZ"/>
              </w:rPr>
            </w:pPr>
            <w:r w:rsidRPr="00EE59B6">
              <w:t>2. Install broadband cable</w:t>
            </w:r>
          </w:p>
        </w:tc>
        <w:tc>
          <w:tcPr>
            <w:tcW w:w="7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9B6" w:rsidP="00EE59B6">
            <w:pPr>
              <w:pStyle w:val="BodyText"/>
            </w:pPr>
            <w:r w:rsidRPr="00EE59B6">
              <w:t xml:space="preserve">2.1 Place and secure correct cable type according to accepted industry practice, relevant regulations and standards </w:t>
            </w:r>
          </w:p>
          <w:p w:rsidR="00000000" w:rsidRPr="00EE59B6" w:rsidP="00EE59B6">
            <w:pPr>
              <w:pStyle w:val="BodyText"/>
            </w:pPr>
            <w:r w:rsidRPr="00EE59B6">
              <w:t>2.2 Maintain cable and service separations in runs and crossovers to meet manufacturer specifications and relevant legislation, regulations, codes and standards</w:t>
            </w:r>
          </w:p>
          <w:p w:rsidR="00000000" w:rsidP="00EE59B6">
            <w:pPr>
              <w:pStyle w:val="BodyText"/>
              <w:rPr>
                <w:lang w:val="en-NZ"/>
              </w:rPr>
            </w:pPr>
            <w:r w:rsidRPr="00EE59B6">
              <w:t>2.3 Fit over-voltage protection devices to cables and metallic components as required</w:t>
            </w:r>
          </w:p>
        </w:tc>
      </w:tr>
      <w:tr w:rsidTr="00EE59B6">
        <w:tblPrEx>
          <w:tblW w:w="9568" w:type="dxa"/>
          <w:tblLayout w:type="fixed"/>
          <w:tblCellMar>
            <w:left w:w="62" w:type="dxa"/>
            <w:right w:w="62" w:type="dxa"/>
          </w:tblCellMar>
          <w:tblLook w:val="0000"/>
        </w:tblPrEx>
        <w:trPr>
          <w:trHeight w:val="1575"/>
        </w:trPr>
        <w:tc>
          <w:tcPr>
            <w:tcW w:w="2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9B6">
            <w:pPr>
              <w:pStyle w:val="BodyText"/>
              <w:rPr>
                <w:lang w:val="en-NZ"/>
              </w:rPr>
            </w:pPr>
            <w:r w:rsidRPr="00EE59B6">
              <w:t>3. Termi</w:t>
            </w:r>
            <w:r w:rsidRPr="00EE59B6">
              <w:t>nate and test broadband cable</w:t>
            </w:r>
          </w:p>
        </w:tc>
        <w:tc>
          <w:tcPr>
            <w:tcW w:w="7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9B6" w:rsidP="00EE59B6">
            <w:pPr>
              <w:pStyle w:val="BodyText"/>
            </w:pPr>
            <w:r w:rsidRPr="00EE59B6">
              <w:t>3.1 Terminate cable according to accepted industry practice and relevant legislation, regulations, codes and standards</w:t>
            </w:r>
          </w:p>
          <w:p w:rsidR="00000000" w:rsidRPr="00EE59B6" w:rsidP="00EE59B6">
            <w:pPr>
              <w:pStyle w:val="BodyText"/>
            </w:pPr>
            <w:r w:rsidRPr="00EE59B6">
              <w:t>3.2 Maintain correct twist ratio to optimise system performance at rated level</w:t>
            </w:r>
          </w:p>
          <w:p w:rsidR="00000000" w:rsidRPr="00EE59B6" w:rsidP="00EE59B6">
            <w:pPr>
              <w:pStyle w:val="BodyText"/>
            </w:pPr>
            <w:r w:rsidRPr="00EE59B6">
              <w:t>3.3 Conduct verification and</w:t>
            </w:r>
            <w:r w:rsidRPr="00EE59B6">
              <w:t xml:space="preserve"> qualification testing of cable installation and termination with suitable tester and record results</w:t>
            </w:r>
          </w:p>
          <w:p w:rsidR="00000000" w:rsidRPr="00EE59B6" w:rsidP="00EE59B6">
            <w:pPr>
              <w:pStyle w:val="BodyText"/>
            </w:pPr>
            <w:r w:rsidRPr="00EE59B6">
              <w:t xml:space="preserve">3.4 Supply system performance documents to customer and outline results </w:t>
            </w:r>
          </w:p>
          <w:p w:rsidR="00000000" w:rsidRPr="00EE59B6" w:rsidP="00EE59B6">
            <w:pPr>
              <w:pStyle w:val="BodyText"/>
            </w:pPr>
            <w:r w:rsidRPr="00EE59B6">
              <w:t>3.5 Complete cabling records and telecommunications cabling advice forms (TCA1) ac</w:t>
            </w:r>
            <w:r w:rsidRPr="00EE59B6">
              <w:t>cording to industry standards</w:t>
            </w:r>
          </w:p>
        </w:tc>
      </w:tr>
    </w:tbl>
    <w:p w:rsidR="00000000" w:rsidRPr="00EE59B6" w:rsidP="00EE59B6">
      <w:pPr>
        <w:pStyle w:val="BodyText"/>
      </w:pPr>
    </w:p>
    <w:p w:rsidR="00000000" w:rsidRPr="00EE59B6" w:rsidP="00EE59B6">
      <w:pPr>
        <w:pStyle w:val="AllowPageBreak"/>
      </w:pPr>
    </w:p>
    <w:p w:rsidR="00000000" w:rsidRPr="00EE59B6" w:rsidP="00EE59B6">
      <w:pPr>
        <w:pStyle w:val="Heading1"/>
      </w:pPr>
      <w:bookmarkStart w:id="6" w:name="O_1042911"/>
      <w:bookmarkEnd w:id="6"/>
      <w:r w:rsidRPr="00EE59B6">
        <w:t>Foundation Skills</w:t>
      </w:r>
    </w:p>
    <w:p w:rsidR="00000000" w:rsidRPr="008C31CA" w:rsidP="008C31CA">
      <w:pPr>
        <w:pStyle w:val="BodyText"/>
        <w:rPr>
          <w:i/>
        </w:rPr>
      </w:pPr>
      <w:r w:rsidRPr="008C31CA">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32"/>
        <w:gridCol w:w="7136"/>
      </w:tblGrid>
      <w:tr w:rsidTr="00EE59B6">
        <w:tblPrEx>
          <w:tblW w:w="9568" w:type="dxa"/>
          <w:tblLayout w:type="fixed"/>
          <w:tblCellMar>
            <w:left w:w="62" w:type="dxa"/>
            <w:right w:w="62" w:type="dxa"/>
          </w:tblCellMar>
          <w:tblLook w:val="0000"/>
        </w:tblPrEx>
        <w:trPr>
          <w:trHeight w:val="405"/>
          <w:tblHeader/>
        </w:trPr>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9B6" w:rsidP="00EE59B6">
            <w:pPr>
              <w:pStyle w:val="BodyText"/>
            </w:pPr>
            <w:r w:rsidRPr="00EE59B6">
              <w:rPr>
                <w:rStyle w:val="SpecialBold"/>
              </w:rPr>
              <w:t>Skill</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9B6">
            <w:pPr>
              <w:pStyle w:val="BodyText"/>
              <w:rPr>
                <w:lang w:val="en-NZ"/>
              </w:rPr>
            </w:pPr>
            <w:r w:rsidRPr="00EE59B6">
              <w:rPr>
                <w:rStyle w:val="SpecialBold"/>
              </w:rPr>
              <w:t>Description</w:t>
            </w:r>
          </w:p>
        </w:tc>
      </w:tr>
      <w:tr w:rsidTr="00EE59B6">
        <w:tblPrEx>
          <w:tblW w:w="9568" w:type="dxa"/>
          <w:tblLayout w:type="fixed"/>
          <w:tblCellMar>
            <w:left w:w="62" w:type="dxa"/>
            <w:right w:w="62" w:type="dxa"/>
          </w:tblCellMar>
          <w:tblLook w:val="0000"/>
        </w:tblPrEx>
        <w:trPr>
          <w:trHeight w:val="821"/>
        </w:trPr>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9B6">
            <w:pPr>
              <w:pStyle w:val="BodyText"/>
              <w:rPr>
                <w:lang w:val="en-NZ"/>
              </w:rPr>
            </w:pPr>
            <w:r w:rsidRPr="00EE59B6">
              <w:t>Reading</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9B6">
            <w:pPr>
              <w:pStyle w:val="ListBullet"/>
              <w:rPr>
                <w:lang w:val="en-NZ"/>
              </w:rPr>
            </w:pPr>
            <w:r w:rsidRPr="00EE59B6">
              <w:t>Evaluates information and products from a variety of sources to ensure appropriateness to customer needs and specifications</w:t>
            </w:r>
          </w:p>
        </w:tc>
      </w:tr>
      <w:tr w:rsidTr="00EE59B6">
        <w:tblPrEx>
          <w:tblW w:w="9568" w:type="dxa"/>
          <w:tblLayout w:type="fixed"/>
          <w:tblCellMar>
            <w:left w:w="62" w:type="dxa"/>
            <w:right w:w="62" w:type="dxa"/>
          </w:tblCellMar>
          <w:tblLook w:val="0000"/>
        </w:tblPrEx>
        <w:trPr>
          <w:trHeight w:val="821"/>
        </w:trPr>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9B6">
            <w:pPr>
              <w:pStyle w:val="BodyText"/>
              <w:rPr>
                <w:lang w:val="en-NZ"/>
              </w:rPr>
            </w:pPr>
            <w:r w:rsidRPr="00EE59B6">
              <w:t>Writing</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9B6">
            <w:pPr>
              <w:pStyle w:val="ListBullet"/>
              <w:rPr>
                <w:lang w:val="en-NZ"/>
              </w:rPr>
            </w:pPr>
            <w:r w:rsidRPr="00EE59B6">
              <w:t xml:space="preserve">Prepares documentation and correspondence using clear language, correct spelling and accurate terminology </w:t>
            </w:r>
          </w:p>
        </w:tc>
      </w:tr>
      <w:tr w:rsidTr="00EE59B6">
        <w:tblPrEx>
          <w:tblW w:w="9568" w:type="dxa"/>
          <w:tblLayout w:type="fixed"/>
          <w:tblCellMar>
            <w:left w:w="62" w:type="dxa"/>
            <w:right w:w="62" w:type="dxa"/>
          </w:tblCellMar>
          <w:tblLook w:val="0000"/>
        </w:tblPrEx>
        <w:trPr>
          <w:trHeight w:val="522"/>
        </w:trPr>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9B6">
            <w:pPr>
              <w:pStyle w:val="BodyText"/>
              <w:rPr>
                <w:lang w:val="en-NZ"/>
              </w:rPr>
            </w:pPr>
            <w:r w:rsidRPr="00EE59B6">
              <w:t>Numeracy</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9B6">
            <w:pPr>
              <w:pStyle w:val="ListBullet"/>
              <w:rPr>
                <w:lang w:val="en-NZ"/>
              </w:rPr>
            </w:pPr>
            <w:r w:rsidRPr="00EE59B6">
              <w:t>Ma</w:t>
            </w:r>
            <w:r w:rsidRPr="00EE59B6">
              <w:t xml:space="preserve">kes calculations appropriate for measuring and estimating materials for installations </w:t>
            </w:r>
          </w:p>
        </w:tc>
      </w:tr>
      <w:tr w:rsidTr="00EE59B6">
        <w:tblPrEx>
          <w:tblW w:w="9568" w:type="dxa"/>
          <w:tblLayout w:type="fixed"/>
          <w:tblCellMar>
            <w:left w:w="62" w:type="dxa"/>
            <w:right w:w="62" w:type="dxa"/>
          </w:tblCellMar>
          <w:tblLook w:val="0000"/>
        </w:tblPrEx>
        <w:trPr>
          <w:trHeight w:val="821"/>
        </w:trPr>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9B6">
            <w:pPr>
              <w:pStyle w:val="BodyText"/>
              <w:rPr>
                <w:lang w:val="en-NZ"/>
              </w:rPr>
            </w:pPr>
            <w:r w:rsidRPr="00EE59B6">
              <w:t>Navigate the world of work</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9B6">
            <w:pPr>
              <w:pStyle w:val="ListBullet"/>
              <w:rPr>
                <w:lang w:val="en-NZ"/>
              </w:rPr>
            </w:pPr>
            <w:r w:rsidRPr="00EE59B6">
              <w:t>Understands rights and responsibilities and complies with legal and regulatory requirements</w:t>
            </w:r>
          </w:p>
        </w:tc>
      </w:tr>
      <w:tr w:rsidTr="00EE59B6">
        <w:tblPrEx>
          <w:tblW w:w="9568" w:type="dxa"/>
          <w:tblLayout w:type="fixed"/>
          <w:tblCellMar>
            <w:left w:w="62" w:type="dxa"/>
            <w:right w:w="62" w:type="dxa"/>
          </w:tblCellMar>
          <w:tblLook w:val="0000"/>
        </w:tblPrEx>
        <w:trPr>
          <w:trHeight w:val="821"/>
        </w:trPr>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9B6">
            <w:pPr>
              <w:pStyle w:val="BodyText"/>
              <w:rPr>
                <w:lang w:val="en-NZ"/>
              </w:rPr>
            </w:pPr>
            <w:r w:rsidRPr="00EE59B6">
              <w:t>Get the work done</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9B6" w:rsidP="00EE59B6">
            <w:pPr>
              <w:pStyle w:val="ListBullet"/>
            </w:pPr>
            <w:r w:rsidRPr="00EE59B6">
              <w:t>Plans and implem</w:t>
            </w:r>
            <w:r w:rsidRPr="00EE59B6">
              <w:t>ents routine tasks and workload making limited decisions on sequencing, timing and collaboration, seeking assistance in setting priorities</w:t>
            </w:r>
          </w:p>
          <w:p w:rsidR="00000000" w:rsidRPr="00EE59B6" w:rsidP="00EE59B6">
            <w:pPr>
              <w:pStyle w:val="ListBullet"/>
            </w:pPr>
            <w:r w:rsidRPr="00EE59B6">
              <w:t>Responds to predictable routine problems and implements solutions</w:t>
            </w:r>
          </w:p>
          <w:p w:rsidR="00000000" w:rsidRPr="00EE59B6" w:rsidP="00EE59B6">
            <w:pPr>
              <w:pStyle w:val="ListBullet"/>
            </w:pPr>
            <w:r w:rsidRPr="00EE59B6">
              <w:t>Makes decisions within familiar situations, based o</w:t>
            </w:r>
            <w:r w:rsidRPr="00EE59B6">
              <w:t>n a range of predefined or routine solutions</w:t>
            </w:r>
          </w:p>
        </w:tc>
      </w:tr>
    </w:tbl>
    <w:p w:rsidR="00000000" w:rsidRPr="00EE59B6" w:rsidP="00EE59B6">
      <w:pPr>
        <w:pStyle w:val="BodyText"/>
      </w:pPr>
    </w:p>
    <w:p w:rsidR="00000000" w:rsidRPr="00EE59B6" w:rsidP="00EE59B6">
      <w:pPr>
        <w:pStyle w:val="AllowPageBreak"/>
      </w:pPr>
    </w:p>
    <w:p w:rsidR="00000000" w:rsidRPr="00EE59B6" w:rsidP="00EE59B6">
      <w:pPr>
        <w:pStyle w:val="Heading1"/>
      </w:pPr>
      <w:bookmarkStart w:id="7" w:name="O_1042910"/>
      <w:bookmarkEnd w:id="7"/>
      <w:r w:rsidRPr="00EE59B6">
        <w:t>Unit Mapping Information</w:t>
      </w:r>
    </w:p>
    <w:p w:rsidR="00000000" w:rsidRPr="00EE59B6" w:rsidP="008C31CA">
      <w:pPr>
        <w:pStyle w:val="BodyText"/>
      </w:pPr>
      <w:r w:rsidRPr="00EE59B6">
        <w:t xml:space="preserve">ICTCMP203 Perform restricted customer premises broadband cabling work: ACMA Restricted Rule supersedes and is equivalent to ICTCMP202 Perform restricted </w:t>
      </w:r>
      <w:r w:rsidRPr="00EE59B6">
        <w:t>customer premises broadband cabling work: ACMA Restricted Rule.</w:t>
      </w:r>
    </w:p>
    <w:p w:rsidR="00000000" w:rsidRPr="00EE59B6" w:rsidP="00EE59B6">
      <w:pPr>
        <w:pStyle w:val="Heading1"/>
      </w:pPr>
      <w:bookmarkStart w:id="8" w:name="O_1042903"/>
      <w:bookmarkEnd w:id="8"/>
      <w:r w:rsidRPr="00EE59B6">
        <w:t>Links</w:t>
      </w:r>
    </w:p>
    <w:p w:rsidR="00000000" w:rsidRPr="00EE59B6" w:rsidP="008C31CA">
      <w:pPr>
        <w:pStyle w:val="BodyText"/>
      </w:pPr>
      <w:r w:rsidRPr="00EE59B6">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08414D">
        <w:rPr>
          <w:rStyle w:val="Hyperlink"/>
        </w:rPr>
        <w:t>https://vetnet.gov.au/Pages/TrainingDocs.aspx?q=a53af4e4-b400-484e-b778-71c9e9d6aff2</w:t>
      </w:r>
      <w:r>
        <w:fldChar w:fldCharType="end"/>
      </w:r>
    </w:p>
    <w:p w:rsidR="00000000" w:rsidRPr="00EE59B6" w:rsidP="00EE59B6"/>
    <w:sectPr w:rsidSect="00EE59B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9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9B6" w:rsidRPr="008C31CA" w:rsidP="008C31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9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1CA" w:rsidP="00EE59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31CA" w:rsidP="00EE59B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8C31CA" w:rsidP="00EE59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9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1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59B6" w:rsidRPr="008C31CA" w:rsidP="008C31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9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1CA" w:rsidRPr="002D2AF8" w:rsidP="00EE59B6">
    <w:pPr>
      <w:pStyle w:val="Header"/>
      <w:framePr w:wrap="around"/>
    </w:pPr>
    <w:r>
      <w:fldChar w:fldCharType="begin"/>
    </w:r>
    <w:r>
      <w:instrText xml:space="preserve"> TITLE   \* MERGEFORMAT </w:instrText>
    </w:r>
    <w:r>
      <w:fldChar w:fldCharType="separate"/>
    </w:r>
    <w:r>
      <w:t>ICTCMP203 Perform restricted customer premises broadband cabling work: ACMA Restricted Rule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8C31CA" w:rsidP="00EE59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D29F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1ABC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59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59B6"/>
    <w:pPr>
      <w:spacing w:before="360" w:after="60"/>
      <w:outlineLvl w:val="0"/>
    </w:pPr>
    <w:rPr>
      <w:sz w:val="32"/>
    </w:rPr>
  </w:style>
  <w:style w:type="paragraph" w:styleId="Heading2">
    <w:name w:val="heading 2"/>
    <w:basedOn w:val="HeadingBase"/>
    <w:next w:val="BodyText"/>
    <w:link w:val="Heading2Char"/>
    <w:qFormat/>
    <w:rsid w:val="00EE59B6"/>
    <w:pPr>
      <w:keepLines/>
      <w:spacing w:before="240" w:after="120"/>
      <w:outlineLvl w:val="1"/>
    </w:pPr>
    <w:rPr>
      <w:sz w:val="28"/>
      <w:szCs w:val="40"/>
    </w:rPr>
  </w:style>
  <w:style w:type="paragraph" w:styleId="Heading3">
    <w:name w:val="heading 3"/>
    <w:basedOn w:val="HeadingBase"/>
    <w:next w:val="BodyText"/>
    <w:link w:val="Heading3Char"/>
    <w:qFormat/>
    <w:rsid w:val="00EE59B6"/>
    <w:pPr>
      <w:spacing w:before="180" w:after="120"/>
      <w:outlineLvl w:val="2"/>
    </w:pPr>
    <w:rPr>
      <w:spacing w:val="-10"/>
      <w:kern w:val="32"/>
    </w:rPr>
  </w:style>
  <w:style w:type="paragraph" w:styleId="Heading4">
    <w:name w:val="heading 4"/>
    <w:basedOn w:val="HeadingBase"/>
    <w:next w:val="BodyText"/>
    <w:link w:val="Heading4Char"/>
    <w:qFormat/>
    <w:rsid w:val="00EE59B6"/>
    <w:pPr>
      <w:spacing w:before="160" w:after="120"/>
      <w:outlineLvl w:val="3"/>
    </w:pPr>
    <w:rPr>
      <w:sz w:val="22"/>
    </w:rPr>
  </w:style>
  <w:style w:type="paragraph" w:styleId="Heading5">
    <w:name w:val="heading 5"/>
    <w:basedOn w:val="HeadingBase"/>
    <w:next w:val="Normal"/>
    <w:link w:val="Heading5Char"/>
    <w:qFormat/>
    <w:rsid w:val="00EE59B6"/>
    <w:pPr>
      <w:spacing w:before="80"/>
      <w:outlineLvl w:val="4"/>
    </w:pPr>
    <w:rPr>
      <w:color w:val="918585"/>
      <w:sz w:val="20"/>
    </w:rPr>
  </w:style>
  <w:style w:type="paragraph" w:styleId="Heading6">
    <w:name w:val="heading 6"/>
    <w:basedOn w:val="HeadingBase"/>
    <w:next w:val="Normal"/>
    <w:link w:val="Heading6Char"/>
    <w:qFormat/>
    <w:rsid w:val="00EE59B6"/>
    <w:pPr>
      <w:spacing w:before="60"/>
      <w:outlineLvl w:val="5"/>
    </w:pPr>
    <w:rPr>
      <w:color w:val="918585"/>
      <w:sz w:val="20"/>
    </w:rPr>
  </w:style>
  <w:style w:type="paragraph" w:styleId="Heading7">
    <w:name w:val="heading 7"/>
    <w:basedOn w:val="Normal"/>
    <w:next w:val="Normal"/>
    <w:link w:val="Heading7Char"/>
    <w:qFormat/>
    <w:rsid w:val="00EE59B6"/>
    <w:pPr>
      <w:ind w:left="720"/>
      <w:outlineLvl w:val="6"/>
    </w:pPr>
    <w:rPr>
      <w:i/>
    </w:rPr>
  </w:style>
  <w:style w:type="paragraph" w:styleId="Heading8">
    <w:name w:val="heading 8"/>
    <w:basedOn w:val="Normal"/>
    <w:next w:val="Normal"/>
    <w:link w:val="Heading8Char"/>
    <w:qFormat/>
    <w:rsid w:val="00EE59B6"/>
    <w:pPr>
      <w:ind w:left="720"/>
      <w:outlineLvl w:val="7"/>
    </w:pPr>
    <w:rPr>
      <w:i/>
    </w:rPr>
  </w:style>
  <w:style w:type="paragraph" w:styleId="Heading9">
    <w:name w:val="heading 9"/>
    <w:basedOn w:val="Normal"/>
    <w:next w:val="Normal"/>
    <w:link w:val="Heading9Char"/>
    <w:qFormat/>
    <w:rsid w:val="00EE59B6"/>
    <w:pPr>
      <w:ind w:left="720"/>
      <w:outlineLvl w:val="8"/>
    </w:pPr>
    <w:rPr>
      <w:i/>
    </w:rPr>
  </w:style>
  <w:style w:type="character" w:default="1" w:styleId="DefaultParagraphFont">
    <w:name w:val="Default Paragraph Font"/>
    <w:uiPriority w:val="1"/>
    <w:unhideWhenUsed/>
    <w:rsid w:val="00EE59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59B6"/>
  </w:style>
  <w:style w:type="character" w:customStyle="1" w:styleId="Heading1Char">
    <w:name w:val="Heading 1 Char"/>
    <w:basedOn w:val="DefaultParagraphFont"/>
    <w:link w:val="Heading1"/>
    <w:rsid w:val="00EE59B6"/>
    <w:rPr>
      <w:rFonts w:ascii="Times New Roman" w:eastAsia="Times New Roman" w:hAnsi="Times New Roman" w:cs="Times New Roman"/>
      <w:b/>
      <w:sz w:val="32"/>
      <w:szCs w:val="20"/>
      <w:lang w:eastAsia="en-US"/>
    </w:rPr>
  </w:style>
  <w:style w:type="paragraph" w:styleId="BodyText">
    <w:name w:val="Body Text"/>
    <w:basedOn w:val="Normal"/>
    <w:link w:val="BodyTextChar"/>
    <w:rsid w:val="00EE59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59B6"/>
    <w:rPr>
      <w:rFonts w:ascii="Times New Roman" w:eastAsia="Times New Roman" w:hAnsi="Times New Roman" w:cs="Times New Roman"/>
      <w:sz w:val="24"/>
      <w:lang w:eastAsia="en-US"/>
    </w:rPr>
  </w:style>
  <w:style w:type="paragraph" w:styleId="ListBullet">
    <w:name w:val="List Bullet"/>
    <w:basedOn w:val="List"/>
    <w:rsid w:val="00EE59B6"/>
    <w:pPr>
      <w:numPr>
        <w:numId w:val="11"/>
      </w:numPr>
      <w:tabs>
        <w:tab w:val="clear" w:pos="340"/>
      </w:tabs>
      <w:spacing w:before="40" w:after="40"/>
    </w:pPr>
  </w:style>
  <w:style w:type="character" w:customStyle="1" w:styleId="SpecialBold">
    <w:name w:val="Special Bold"/>
    <w:basedOn w:val="DefaultParagraphFont"/>
    <w:rsid w:val="00EE59B6"/>
    <w:rPr>
      <w:b/>
      <w:spacing w:val="0"/>
    </w:rPr>
  </w:style>
  <w:style w:type="character" w:styleId="Emphasis">
    <w:name w:val="Emphasis"/>
    <w:basedOn w:val="DefaultParagraphFont"/>
    <w:qFormat/>
    <w:rsid w:val="00EE59B6"/>
    <w:rPr>
      <w:i/>
    </w:rPr>
  </w:style>
  <w:style w:type="paragraph" w:customStyle="1" w:styleId="SuperHeading">
    <w:name w:val="SuperHeading"/>
    <w:basedOn w:val="Normal"/>
    <w:rsid w:val="00EE59B6"/>
    <w:pPr>
      <w:spacing w:before="240" w:after="120"/>
      <w:outlineLvl w:val="0"/>
    </w:pPr>
    <w:rPr>
      <w:rFonts w:ascii="Times New Roman" w:hAnsi="Times New Roman"/>
      <w:b/>
      <w:sz w:val="32"/>
    </w:rPr>
  </w:style>
  <w:style w:type="paragraph" w:customStyle="1" w:styleId="AllowPageBreak">
    <w:name w:val="AllowPageBreak"/>
    <w:rsid w:val="00EE59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59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59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59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59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59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59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59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59B6"/>
    <w:rPr>
      <w:rFonts w:ascii="Courier New" w:eastAsia="Times New Roman" w:hAnsi="Courier New" w:cs="Times New Roman"/>
      <w:i/>
      <w:szCs w:val="20"/>
      <w:lang w:eastAsia="en-US"/>
    </w:rPr>
  </w:style>
  <w:style w:type="paragraph" w:customStyle="1" w:styleId="HeadingBase">
    <w:name w:val="Heading Base"/>
    <w:rsid w:val="00EE59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59B6"/>
    <w:pPr>
      <w:tabs>
        <w:tab w:val="right" w:leader="dot" w:pos="9072"/>
      </w:tabs>
      <w:ind w:left="567"/>
    </w:pPr>
    <w:rPr>
      <w:szCs w:val="22"/>
    </w:rPr>
  </w:style>
  <w:style w:type="paragraph" w:customStyle="1" w:styleId="TOCBase">
    <w:name w:val="TOC Base"/>
    <w:rsid w:val="00EE59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59B6"/>
    <w:pPr>
      <w:tabs>
        <w:tab w:val="right" w:leader="dot" w:pos="9072"/>
      </w:tabs>
      <w:spacing w:before="40" w:after="40"/>
      <w:ind w:left="284"/>
    </w:pPr>
    <w:rPr>
      <w:rFonts w:ascii="Times New Roman" w:hAnsi="Times New Roman"/>
    </w:rPr>
  </w:style>
  <w:style w:type="paragraph" w:styleId="TOC1">
    <w:name w:val="toc 1"/>
    <w:basedOn w:val="TOCBase"/>
    <w:next w:val="Normal"/>
    <w:rsid w:val="00EE59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59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59B6"/>
    <w:rPr>
      <w:rFonts w:ascii="Times New Roman" w:eastAsia="Times New Roman" w:hAnsi="Times New Roman" w:cs="Times New Roman"/>
      <w:sz w:val="16"/>
      <w:lang w:eastAsia="en-US"/>
    </w:rPr>
  </w:style>
  <w:style w:type="paragraph" w:styleId="Title">
    <w:name w:val="Title"/>
    <w:basedOn w:val="HeadingBase"/>
    <w:link w:val="TitleChar"/>
    <w:qFormat/>
    <w:rsid w:val="00EE59B6"/>
    <w:pPr>
      <w:spacing w:before="5040"/>
      <w:jc w:val="center"/>
    </w:pPr>
    <w:rPr>
      <w:sz w:val="48"/>
      <w:szCs w:val="72"/>
      <w:lang w:val="en-US"/>
    </w:rPr>
  </w:style>
  <w:style w:type="character" w:customStyle="1" w:styleId="TitleChar">
    <w:name w:val="Title Char"/>
    <w:basedOn w:val="DefaultParagraphFont"/>
    <w:link w:val="Title"/>
    <w:rsid w:val="00EE59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59B6"/>
    <w:pPr>
      <w:tabs>
        <w:tab w:val="left" w:pos="3600"/>
        <w:tab w:val="left" w:pos="3958"/>
      </w:tabs>
    </w:pPr>
  </w:style>
  <w:style w:type="paragraph" w:styleId="List">
    <w:name w:val="List"/>
    <w:basedOn w:val="BodyText"/>
    <w:next w:val="BodyText"/>
    <w:rsid w:val="00EE59B6"/>
    <w:pPr>
      <w:tabs>
        <w:tab w:val="left" w:pos="340"/>
      </w:tabs>
      <w:spacing w:before="60" w:after="60"/>
      <w:ind w:left="340" w:hanging="340"/>
    </w:pPr>
  </w:style>
  <w:style w:type="paragraph" w:customStyle="1" w:styleId="Note">
    <w:name w:val="Note"/>
    <w:basedOn w:val="BodyText"/>
    <w:rsid w:val="00EE59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59B6"/>
    <w:pPr>
      <w:framePr w:wrap="auto" w:hAnchor="text" w:y="6049"/>
    </w:pPr>
    <w:rPr>
      <w:color w:val="000000"/>
      <w:sz w:val="40"/>
    </w:rPr>
  </w:style>
  <w:style w:type="paragraph" w:customStyle="1" w:styleId="TOCTitle">
    <w:name w:val="TOCTitle"/>
    <w:basedOn w:val="Heading1"/>
    <w:rsid w:val="00EE59B6"/>
    <w:pPr>
      <w:spacing w:after="240"/>
      <w:jc w:val="center"/>
      <w:outlineLvl w:val="9"/>
    </w:pPr>
    <w:rPr>
      <w:caps/>
    </w:rPr>
  </w:style>
  <w:style w:type="paragraph" w:customStyle="1" w:styleId="Version">
    <w:name w:val="Version"/>
    <w:rsid w:val="00EE59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59B6"/>
    <w:pPr>
      <w:numPr>
        <w:numId w:val="12"/>
      </w:numPr>
      <w:tabs>
        <w:tab w:val="clear" w:pos="680"/>
      </w:tabs>
    </w:pPr>
  </w:style>
  <w:style w:type="paragraph" w:styleId="Index1">
    <w:name w:val="index 1"/>
    <w:basedOn w:val="Normal"/>
    <w:next w:val="Normal"/>
    <w:semiHidden/>
    <w:rsid w:val="00EE59B6"/>
    <w:pPr>
      <w:keepNext w:val="0"/>
      <w:tabs>
        <w:tab w:val="right" w:pos="4176"/>
      </w:tabs>
      <w:ind w:left="198" w:hanging="198"/>
    </w:pPr>
    <w:rPr>
      <w:rFonts w:ascii="Garamond" w:hAnsi="Garamond"/>
    </w:rPr>
  </w:style>
  <w:style w:type="paragraph" w:styleId="IndexHeading">
    <w:name w:val="index heading"/>
    <w:basedOn w:val="Normal"/>
    <w:next w:val="Index1"/>
    <w:semiHidden/>
    <w:rsid w:val="00EE59B6"/>
    <w:pPr>
      <w:spacing w:before="120" w:after="120"/>
    </w:pPr>
    <w:rPr>
      <w:rFonts w:ascii="Arial" w:hAnsi="Arial"/>
      <w:b/>
      <w:color w:val="918585"/>
      <w:sz w:val="24"/>
    </w:rPr>
  </w:style>
  <w:style w:type="paragraph" w:styleId="Header">
    <w:name w:val="header"/>
    <w:basedOn w:val="Normal"/>
    <w:link w:val="HeaderChar"/>
    <w:rsid w:val="00EE59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59B6"/>
    <w:rPr>
      <w:rFonts w:ascii="Times New Roman" w:eastAsia="Times New Roman" w:hAnsi="Times New Roman" w:cs="Times New Roman"/>
      <w:sz w:val="16"/>
      <w:szCs w:val="20"/>
      <w:lang w:val="en-GB" w:eastAsia="en-US"/>
    </w:rPr>
  </w:style>
  <w:style w:type="paragraph" w:customStyle="1" w:styleId="Chapter">
    <w:name w:val="Chapter"/>
    <w:basedOn w:val="Normal"/>
    <w:rsid w:val="00EE59B6"/>
    <w:pPr>
      <w:spacing w:before="240"/>
    </w:pPr>
    <w:rPr>
      <w:rFonts w:ascii="Times New Roman" w:hAnsi="Times New Roman"/>
      <w:smallCaps/>
      <w:spacing w:val="80"/>
      <w:sz w:val="28"/>
    </w:rPr>
  </w:style>
  <w:style w:type="paragraph" w:customStyle="1" w:styleId="InChapter">
    <w:name w:val="InChapter"/>
    <w:basedOn w:val="Heading3"/>
    <w:rsid w:val="00EE59B6"/>
    <w:pPr>
      <w:spacing w:after="240"/>
      <w:outlineLvl w:val="9"/>
    </w:pPr>
    <w:rPr>
      <w:noProof/>
    </w:rPr>
  </w:style>
  <w:style w:type="paragraph" w:styleId="Index2">
    <w:name w:val="index 2"/>
    <w:basedOn w:val="Normal"/>
    <w:next w:val="Normal"/>
    <w:semiHidden/>
    <w:rsid w:val="00EE59B6"/>
    <w:pPr>
      <w:tabs>
        <w:tab w:val="right" w:pos="4176"/>
      </w:tabs>
      <w:ind w:left="568" w:hanging="284"/>
    </w:pPr>
    <w:rPr>
      <w:rFonts w:ascii="Garamond" w:hAnsi="Garamond"/>
    </w:rPr>
  </w:style>
  <w:style w:type="paragraph" w:customStyle="1" w:styleId="Byline">
    <w:name w:val="Byline"/>
    <w:rsid w:val="00EE59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59B6"/>
    <w:pPr>
      <w:tabs>
        <w:tab w:val="clear" w:pos="3600"/>
        <w:tab w:val="clear" w:pos="3958"/>
      </w:tabs>
      <w:jc w:val="right"/>
    </w:pPr>
  </w:style>
  <w:style w:type="paragraph" w:styleId="Caption">
    <w:name w:val="caption"/>
    <w:basedOn w:val="BodyText"/>
    <w:next w:val="Normal"/>
    <w:qFormat/>
    <w:rsid w:val="00EE59B6"/>
    <w:pPr>
      <w:framePr w:w="2268" w:hSpace="181" w:vSpace="181" w:wrap="around" w:vAnchor="text" w:hAnchor="page" w:x="1135" w:y="285" w:anchorLock="1"/>
    </w:pPr>
    <w:rPr>
      <w:i/>
    </w:rPr>
  </w:style>
  <w:style w:type="paragraph" w:customStyle="1" w:styleId="MiniTOCTitle">
    <w:name w:val="MiniTOCTitle"/>
    <w:basedOn w:val="Heading4"/>
    <w:rsid w:val="00EE59B6"/>
    <w:pPr>
      <w:spacing w:before="240"/>
      <w:outlineLvl w:val="9"/>
    </w:pPr>
    <w:rPr>
      <w:noProof/>
      <w:sz w:val="24"/>
    </w:rPr>
  </w:style>
  <w:style w:type="paragraph" w:customStyle="1" w:styleId="MiniTOCItem">
    <w:name w:val="MiniTOCItem"/>
    <w:basedOn w:val="ListBullet"/>
    <w:rsid w:val="00EE59B6"/>
    <w:pPr>
      <w:numPr>
        <w:numId w:val="0"/>
      </w:numPr>
      <w:tabs>
        <w:tab w:val="right" w:leader="dot" w:pos="6521"/>
      </w:tabs>
      <w:spacing w:before="0" w:after="0"/>
    </w:pPr>
  </w:style>
  <w:style w:type="paragraph" w:customStyle="1" w:styleId="TOFTitle">
    <w:name w:val="TOFTitle"/>
    <w:basedOn w:val="TOCTitle"/>
    <w:rsid w:val="00EE59B6"/>
  </w:style>
  <w:style w:type="paragraph" w:styleId="TableofFigures">
    <w:name w:val="table of figures"/>
    <w:basedOn w:val="Normal"/>
    <w:next w:val="Normal"/>
    <w:semiHidden/>
    <w:rsid w:val="00EE59B6"/>
    <w:pPr>
      <w:tabs>
        <w:tab w:val="right" w:leader="dot" w:pos="9072"/>
      </w:tabs>
      <w:ind w:left="970" w:hanging="403"/>
    </w:pPr>
    <w:rPr>
      <w:rFonts w:ascii="Times New Roman" w:hAnsi="Times New Roman"/>
      <w:b/>
    </w:rPr>
  </w:style>
  <w:style w:type="paragraph" w:styleId="ListNumber">
    <w:name w:val="List Number"/>
    <w:basedOn w:val="List"/>
    <w:rsid w:val="00EE59B6"/>
    <w:pPr>
      <w:numPr>
        <w:numId w:val="14"/>
      </w:numPr>
      <w:tabs>
        <w:tab w:val="clear" w:pos="340"/>
      </w:tabs>
    </w:pPr>
  </w:style>
  <w:style w:type="character" w:customStyle="1" w:styleId="WingdingSymbols">
    <w:name w:val="Wingding Symbols"/>
    <w:rsid w:val="00EE59B6"/>
    <w:rPr>
      <w:rFonts w:ascii="Wingdings" w:hAnsi="Wingdings"/>
    </w:rPr>
  </w:style>
  <w:style w:type="paragraph" w:customStyle="1" w:styleId="TableHeading">
    <w:name w:val="Table Heading"/>
    <w:basedOn w:val="HeadingBase"/>
    <w:rsid w:val="00EE59B6"/>
    <w:pPr>
      <w:keepLines/>
      <w:pBdr>
        <w:bottom w:val="single" w:sz="6" w:space="1" w:color="918585"/>
      </w:pBdr>
      <w:spacing w:before="240"/>
    </w:pPr>
  </w:style>
  <w:style w:type="character" w:customStyle="1" w:styleId="HotSpot">
    <w:name w:val="HotSpot"/>
    <w:rsid w:val="00EE59B6"/>
    <w:rPr>
      <w:color w:val="0033CC"/>
      <w:u w:val="none"/>
    </w:rPr>
  </w:style>
  <w:style w:type="paragraph" w:customStyle="1" w:styleId="BodyTextRight">
    <w:name w:val="Body Text Right"/>
    <w:basedOn w:val="BodyText"/>
    <w:rsid w:val="00EE59B6"/>
    <w:pPr>
      <w:spacing w:before="0" w:after="0"/>
      <w:jc w:val="right"/>
    </w:pPr>
  </w:style>
  <w:style w:type="paragraph" w:styleId="Index3">
    <w:name w:val="index 3"/>
    <w:basedOn w:val="ListNumber2"/>
    <w:next w:val="Normal"/>
    <w:semiHidden/>
    <w:rsid w:val="00EE59B6"/>
    <w:pPr>
      <w:numPr>
        <w:numId w:val="0"/>
      </w:numPr>
      <w:tabs>
        <w:tab w:val="right" w:leader="dot" w:pos="4176"/>
      </w:tabs>
    </w:pPr>
  </w:style>
  <w:style w:type="paragraph" w:styleId="ListNumber2">
    <w:name w:val="List Number 2"/>
    <w:basedOn w:val="List2"/>
    <w:rsid w:val="00EE59B6"/>
    <w:pPr>
      <w:numPr>
        <w:numId w:val="9"/>
      </w:numPr>
      <w:tabs>
        <w:tab w:val="clear" w:pos="1060"/>
      </w:tabs>
    </w:pPr>
  </w:style>
  <w:style w:type="paragraph" w:customStyle="1" w:styleId="MarginNote">
    <w:name w:val="Margin Note"/>
    <w:basedOn w:val="BodyText"/>
    <w:rsid w:val="00EE59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59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59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59B6"/>
    <w:rPr>
      <w:sz w:val="32"/>
    </w:rPr>
  </w:style>
  <w:style w:type="paragraph" w:customStyle="1" w:styleId="HeadingProcedure">
    <w:name w:val="Heading Procedure"/>
    <w:basedOn w:val="HeadingBase"/>
    <w:next w:val="Normal"/>
    <w:rsid w:val="00EE59B6"/>
    <w:pPr>
      <w:tabs>
        <w:tab w:val="left" w:pos="0"/>
      </w:tabs>
      <w:spacing w:before="120" w:after="60"/>
    </w:pPr>
    <w:rPr>
      <w:i/>
      <w:color w:val="918585"/>
      <w:sz w:val="22"/>
    </w:rPr>
  </w:style>
  <w:style w:type="paragraph" w:customStyle="1" w:styleId="TableBodyText">
    <w:name w:val="Table Body Text"/>
    <w:basedOn w:val="BodyText"/>
    <w:rsid w:val="00EE59B6"/>
    <w:pPr>
      <w:spacing w:before="60" w:after="60"/>
    </w:pPr>
  </w:style>
  <w:style w:type="paragraph" w:styleId="ListContinue">
    <w:name w:val="List Continue"/>
    <w:basedOn w:val="List"/>
    <w:rsid w:val="00EE59B6"/>
    <w:pPr>
      <w:ind w:firstLine="0"/>
    </w:pPr>
  </w:style>
  <w:style w:type="paragraph" w:customStyle="1" w:styleId="ListNote">
    <w:name w:val="List Note"/>
    <w:basedOn w:val="List"/>
    <w:rsid w:val="00EE59B6"/>
    <w:pPr>
      <w:pBdr>
        <w:top w:val="single" w:sz="6" w:space="2" w:color="918585"/>
        <w:bottom w:val="single" w:sz="6" w:space="2" w:color="918585"/>
      </w:pBdr>
      <w:tabs>
        <w:tab w:val="left" w:pos="1021"/>
      </w:tabs>
      <w:ind w:firstLine="0"/>
    </w:pPr>
  </w:style>
  <w:style w:type="paragraph" w:customStyle="1" w:styleId="Warning">
    <w:name w:val="Warning"/>
    <w:basedOn w:val="BodyText"/>
    <w:rsid w:val="00EE59B6"/>
    <w:pPr>
      <w:shd w:val="clear" w:color="auto" w:fill="D9D9D9"/>
      <w:tabs>
        <w:tab w:val="left" w:pos="992"/>
      </w:tabs>
      <w:ind w:left="119" w:right="119"/>
    </w:pPr>
    <w:rPr>
      <w:sz w:val="20"/>
    </w:rPr>
  </w:style>
  <w:style w:type="paragraph" w:customStyle="1" w:styleId="MarginIcons">
    <w:name w:val="Margin Icons"/>
    <w:basedOn w:val="BodyText"/>
    <w:rsid w:val="00EE59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59B6"/>
    <w:rPr>
      <w:rFonts w:ascii="Courier New" w:hAnsi="Courier New"/>
    </w:rPr>
  </w:style>
  <w:style w:type="paragraph" w:customStyle="1" w:styleId="NoteBullet">
    <w:name w:val="Note Bullet"/>
    <w:basedOn w:val="Note"/>
    <w:rsid w:val="00EE59B6"/>
    <w:pPr>
      <w:tabs>
        <w:tab w:val="clear" w:pos="680"/>
      </w:tabs>
      <w:spacing w:before="60" w:after="60"/>
    </w:pPr>
  </w:style>
  <w:style w:type="paragraph" w:customStyle="1" w:styleId="SubHeading2">
    <w:name w:val="SubHeading2"/>
    <w:basedOn w:val="HeadingBase"/>
    <w:rsid w:val="00EE59B6"/>
    <w:pPr>
      <w:spacing w:before="240" w:after="60"/>
    </w:pPr>
    <w:rPr>
      <w:sz w:val="20"/>
    </w:rPr>
  </w:style>
  <w:style w:type="paragraph" w:customStyle="1" w:styleId="SubHeading1">
    <w:name w:val="SubHeading1"/>
    <w:basedOn w:val="HeadingBase"/>
    <w:rsid w:val="00EE59B6"/>
    <w:pPr>
      <w:spacing w:before="240" w:after="60"/>
    </w:pPr>
    <w:rPr>
      <w:color w:val="918585"/>
      <w:sz w:val="22"/>
    </w:rPr>
  </w:style>
  <w:style w:type="paragraph" w:customStyle="1" w:styleId="SideHeading">
    <w:name w:val="Side Heading"/>
    <w:basedOn w:val="HeadingBase"/>
    <w:rsid w:val="00EE59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59B6"/>
    <w:pPr>
      <w:numPr>
        <w:numId w:val="10"/>
      </w:numPr>
    </w:pPr>
  </w:style>
  <w:style w:type="paragraph" w:styleId="PlainText">
    <w:name w:val="Plain Text"/>
    <w:basedOn w:val="Normal"/>
    <w:link w:val="PlainTextChar"/>
    <w:rsid w:val="00EE59B6"/>
    <w:rPr>
      <w:sz w:val="20"/>
    </w:rPr>
  </w:style>
  <w:style w:type="character" w:customStyle="1" w:styleId="PlainTextChar">
    <w:name w:val="Plain Text Char"/>
    <w:basedOn w:val="DefaultParagraphFont"/>
    <w:link w:val="PlainText"/>
    <w:rsid w:val="00EE59B6"/>
    <w:rPr>
      <w:rFonts w:ascii="Courier New" w:eastAsia="Times New Roman" w:hAnsi="Courier New" w:cs="Times New Roman"/>
      <w:sz w:val="20"/>
      <w:szCs w:val="20"/>
      <w:lang w:eastAsia="en-US"/>
    </w:rPr>
  </w:style>
  <w:style w:type="character" w:customStyle="1" w:styleId="MenuOption">
    <w:name w:val="Menu Option"/>
    <w:basedOn w:val="DefaultParagraphFont"/>
    <w:rsid w:val="00EE59B6"/>
    <w:rPr>
      <w:b/>
      <w:smallCaps/>
    </w:rPr>
  </w:style>
  <w:style w:type="paragraph" w:customStyle="1" w:styleId="TableListNumber">
    <w:name w:val="Table List Number"/>
    <w:basedOn w:val="ListNumber"/>
    <w:rsid w:val="00EE59B6"/>
    <w:pPr>
      <w:numPr>
        <w:numId w:val="0"/>
      </w:numPr>
    </w:pPr>
  </w:style>
  <w:style w:type="paragraph" w:styleId="TOC4">
    <w:name w:val="toc 4"/>
    <w:basedOn w:val="TOCBase"/>
    <w:next w:val="Normal"/>
    <w:semiHidden/>
    <w:rsid w:val="00EE59B6"/>
    <w:pPr>
      <w:tabs>
        <w:tab w:val="right" w:leader="dot" w:pos="9071"/>
      </w:tabs>
      <w:ind w:left="1701"/>
    </w:pPr>
  </w:style>
  <w:style w:type="paragraph" w:customStyle="1" w:styleId="ListAlpha">
    <w:name w:val="List Alpha"/>
    <w:basedOn w:val="List"/>
    <w:rsid w:val="00EE59B6"/>
    <w:pPr>
      <w:numPr>
        <w:numId w:val="8"/>
      </w:numPr>
    </w:pPr>
  </w:style>
  <w:style w:type="paragraph" w:customStyle="1" w:styleId="ListAlpha2">
    <w:name w:val="List Alpha 2"/>
    <w:basedOn w:val="List2"/>
    <w:rsid w:val="00EE59B6"/>
    <w:pPr>
      <w:numPr>
        <w:numId w:val="7"/>
      </w:numPr>
    </w:pPr>
  </w:style>
  <w:style w:type="paragraph" w:styleId="List2">
    <w:name w:val="List 2"/>
    <w:basedOn w:val="BodyText"/>
    <w:rsid w:val="00EE59B6"/>
    <w:pPr>
      <w:tabs>
        <w:tab w:val="left" w:pos="680"/>
      </w:tabs>
      <w:spacing w:before="60" w:after="60"/>
      <w:ind w:left="680" w:hanging="340"/>
    </w:pPr>
  </w:style>
  <w:style w:type="paragraph" w:styleId="List3">
    <w:name w:val="List 3"/>
    <w:basedOn w:val="BodyText"/>
    <w:rsid w:val="00EE59B6"/>
    <w:pPr>
      <w:tabs>
        <w:tab w:val="left" w:pos="1021"/>
      </w:tabs>
      <w:spacing w:before="60" w:after="60"/>
      <w:ind w:left="1020" w:hanging="340"/>
    </w:pPr>
  </w:style>
  <w:style w:type="paragraph" w:styleId="List4">
    <w:name w:val="List 4"/>
    <w:basedOn w:val="BodyText"/>
    <w:rsid w:val="00EE59B6"/>
    <w:pPr>
      <w:tabs>
        <w:tab w:val="left" w:pos="1361"/>
      </w:tabs>
      <w:spacing w:before="60" w:after="60"/>
      <w:ind w:left="1361" w:hanging="340"/>
    </w:pPr>
  </w:style>
  <w:style w:type="paragraph" w:styleId="List5">
    <w:name w:val="List 5"/>
    <w:basedOn w:val="BodyText"/>
    <w:rsid w:val="00EE59B6"/>
    <w:pPr>
      <w:tabs>
        <w:tab w:val="left" w:pos="1701"/>
      </w:tabs>
      <w:spacing w:before="60" w:after="60"/>
      <w:ind w:left="1701" w:hanging="340"/>
    </w:pPr>
  </w:style>
  <w:style w:type="paragraph" w:styleId="ListBullet3">
    <w:name w:val="List Bullet 3"/>
    <w:basedOn w:val="List3"/>
    <w:rsid w:val="00EE59B6"/>
    <w:pPr>
      <w:numPr>
        <w:numId w:val="13"/>
      </w:numPr>
      <w:tabs>
        <w:tab w:val="clear" w:pos="1021"/>
      </w:tabs>
      <w:ind w:left="1037" w:hanging="357"/>
    </w:pPr>
  </w:style>
  <w:style w:type="paragraph" w:styleId="ListBullet4">
    <w:name w:val="List Bullet 4"/>
    <w:basedOn w:val="List4"/>
    <w:rsid w:val="00EE59B6"/>
    <w:pPr>
      <w:numPr>
        <w:numId w:val="2"/>
      </w:numPr>
      <w:tabs>
        <w:tab w:val="clear" w:pos="1361"/>
      </w:tabs>
    </w:pPr>
  </w:style>
  <w:style w:type="paragraph" w:styleId="ListBullet5">
    <w:name w:val="List Bullet 5"/>
    <w:basedOn w:val="List5"/>
    <w:rsid w:val="00EE59B6"/>
    <w:pPr>
      <w:numPr>
        <w:numId w:val="3"/>
      </w:numPr>
    </w:pPr>
  </w:style>
  <w:style w:type="paragraph" w:styleId="ListContinue2">
    <w:name w:val="List Continue 2"/>
    <w:basedOn w:val="List2"/>
    <w:rsid w:val="00EE59B6"/>
    <w:pPr>
      <w:ind w:firstLine="0"/>
    </w:pPr>
  </w:style>
  <w:style w:type="paragraph" w:styleId="ListContinue3">
    <w:name w:val="List Continue 3"/>
    <w:basedOn w:val="List3"/>
    <w:rsid w:val="00EE59B6"/>
    <w:pPr>
      <w:ind w:left="1021" w:firstLine="0"/>
    </w:pPr>
  </w:style>
  <w:style w:type="paragraph" w:styleId="ListContinue4">
    <w:name w:val="List Continue 4"/>
    <w:basedOn w:val="List4"/>
    <w:rsid w:val="00EE59B6"/>
    <w:pPr>
      <w:ind w:firstLine="0"/>
    </w:pPr>
  </w:style>
  <w:style w:type="paragraph" w:styleId="ListContinue5">
    <w:name w:val="List Continue 5"/>
    <w:basedOn w:val="List5"/>
    <w:rsid w:val="00EE59B6"/>
    <w:pPr>
      <w:ind w:firstLine="0"/>
    </w:pPr>
  </w:style>
  <w:style w:type="paragraph" w:styleId="ListNumber3">
    <w:name w:val="List Number 3"/>
    <w:basedOn w:val="List3"/>
    <w:rsid w:val="00EE59B6"/>
    <w:pPr>
      <w:numPr>
        <w:numId w:val="4"/>
      </w:numPr>
    </w:pPr>
  </w:style>
  <w:style w:type="paragraph" w:styleId="ListNumber4">
    <w:name w:val="List Number 4"/>
    <w:basedOn w:val="List4"/>
    <w:rsid w:val="00EE59B6"/>
    <w:pPr>
      <w:numPr>
        <w:numId w:val="5"/>
      </w:numPr>
    </w:pPr>
  </w:style>
  <w:style w:type="paragraph" w:styleId="ListNumber5">
    <w:name w:val="List Number 5"/>
    <w:basedOn w:val="List5"/>
    <w:rsid w:val="00EE59B6"/>
    <w:pPr>
      <w:numPr>
        <w:numId w:val="6"/>
      </w:numPr>
    </w:pPr>
  </w:style>
  <w:style w:type="paragraph" w:styleId="BlockText">
    <w:name w:val="Block Text"/>
    <w:basedOn w:val="Normal"/>
    <w:rsid w:val="00EE59B6"/>
    <w:pPr>
      <w:spacing w:after="120"/>
      <w:ind w:left="1440" w:right="1440"/>
    </w:pPr>
  </w:style>
  <w:style w:type="character" w:customStyle="1" w:styleId="Subscript">
    <w:name w:val="Subscript"/>
    <w:basedOn w:val="DefaultParagraphFont"/>
    <w:rsid w:val="00EE59B6"/>
    <w:rPr>
      <w:sz w:val="16"/>
      <w:vertAlign w:val="subscript"/>
    </w:rPr>
  </w:style>
  <w:style w:type="character" w:customStyle="1" w:styleId="Superscript">
    <w:name w:val="Superscript"/>
    <w:basedOn w:val="DefaultParagraphFont"/>
    <w:rsid w:val="00EE59B6"/>
    <w:rPr>
      <w:sz w:val="16"/>
      <w:vertAlign w:val="superscript"/>
    </w:rPr>
  </w:style>
  <w:style w:type="character" w:customStyle="1" w:styleId="Symbols">
    <w:name w:val="Symbols"/>
    <w:basedOn w:val="DefaultParagraphFont"/>
    <w:rsid w:val="00EE59B6"/>
    <w:rPr>
      <w:rFonts w:ascii="Symbol" w:hAnsi="Symbol"/>
    </w:rPr>
  </w:style>
  <w:style w:type="character" w:customStyle="1" w:styleId="MenuOptions">
    <w:name w:val="Menu Options"/>
    <w:basedOn w:val="DefaultParagraphFont"/>
    <w:rsid w:val="00EE59B6"/>
    <w:rPr>
      <w:rFonts w:ascii="Arial Narrow" w:hAnsi="Arial Narrow"/>
      <w:smallCaps/>
    </w:rPr>
  </w:style>
  <w:style w:type="character" w:customStyle="1" w:styleId="Buttons">
    <w:name w:val="Buttons"/>
    <w:basedOn w:val="DefaultParagraphFont"/>
    <w:rsid w:val="00EE59B6"/>
    <w:rPr>
      <w:b/>
    </w:rPr>
  </w:style>
  <w:style w:type="character" w:customStyle="1" w:styleId="Underlined">
    <w:name w:val="Underlined"/>
    <w:basedOn w:val="DefaultParagraphFont"/>
    <w:rsid w:val="00EE59B6"/>
    <w:rPr>
      <w:u w:val="single"/>
    </w:rPr>
  </w:style>
  <w:style w:type="paragraph" w:customStyle="1" w:styleId="TableBodyTextRight">
    <w:name w:val="Table Body Text Right"/>
    <w:basedOn w:val="TableBodyText"/>
    <w:rsid w:val="00EE59B6"/>
    <w:pPr>
      <w:widowControl w:val="0"/>
      <w:autoSpaceDE w:val="0"/>
      <w:autoSpaceDN w:val="0"/>
      <w:adjustRightInd w:val="0"/>
      <w:jc w:val="right"/>
    </w:pPr>
    <w:rPr>
      <w:rFonts w:cs="Arial"/>
      <w:szCs w:val="18"/>
    </w:rPr>
  </w:style>
  <w:style w:type="paragraph" w:customStyle="1" w:styleId="CopyrightText">
    <w:name w:val="Copyright Text"/>
    <w:basedOn w:val="BodyText"/>
    <w:rsid w:val="00EE59B6"/>
    <w:rPr>
      <w:sz w:val="18"/>
    </w:rPr>
  </w:style>
  <w:style w:type="paragraph" w:customStyle="1" w:styleId="BodySmallRight">
    <w:name w:val="Body Small Right"/>
    <w:basedOn w:val="BodyTextRight"/>
    <w:rsid w:val="00EE59B6"/>
    <w:rPr>
      <w:sz w:val="18"/>
      <w:szCs w:val="18"/>
    </w:rPr>
  </w:style>
  <w:style w:type="paragraph" w:customStyle="1" w:styleId="MarginEdition">
    <w:name w:val="Margin Edition"/>
    <w:basedOn w:val="MarginNote"/>
    <w:rsid w:val="00EE59B6"/>
    <w:pPr>
      <w:spacing w:before="0" w:after="0"/>
    </w:pPr>
    <w:rPr>
      <w:rFonts w:ascii="Times New Roman" w:hAnsi="Times New Roman"/>
      <w:color w:val="999999"/>
    </w:rPr>
  </w:style>
  <w:style w:type="paragraph" w:customStyle="1" w:styleId="Spacer">
    <w:name w:val="Spacer"/>
    <w:basedOn w:val="Normal"/>
    <w:rsid w:val="00EE59B6"/>
    <w:rPr>
      <w:sz w:val="2"/>
      <w:szCs w:val="2"/>
    </w:rPr>
  </w:style>
  <w:style w:type="character" w:customStyle="1" w:styleId="Small">
    <w:name w:val="Small"/>
    <w:basedOn w:val="DefaultParagraphFont"/>
    <w:rsid w:val="00EE59B6"/>
    <w:rPr>
      <w:sz w:val="16"/>
    </w:rPr>
  </w:style>
  <w:style w:type="paragraph" w:customStyle="1" w:styleId="WideTable">
    <w:name w:val="Wide Table"/>
    <w:basedOn w:val="Normal"/>
    <w:rsid w:val="00EE59B6"/>
    <w:pPr>
      <w:ind w:left="-1418"/>
    </w:pPr>
    <w:rPr>
      <w:sz w:val="2"/>
      <w:szCs w:val="2"/>
    </w:rPr>
  </w:style>
  <w:style w:type="character" w:styleId="PageNumber">
    <w:name w:val="page number"/>
    <w:basedOn w:val="DefaultParagraphFont"/>
    <w:rsid w:val="00EE59B6"/>
  </w:style>
  <w:style w:type="paragraph" w:styleId="Quote">
    <w:name w:val="Quote"/>
    <w:basedOn w:val="Heading1"/>
    <w:link w:val="QuoteChar"/>
    <w:qFormat/>
    <w:rsid w:val="00EE59B6"/>
    <w:rPr>
      <w:b w:val="0"/>
      <w:sz w:val="72"/>
      <w:szCs w:val="72"/>
      <w:lang w:val="en-NZ"/>
    </w:rPr>
  </w:style>
  <w:style w:type="character" w:customStyle="1" w:styleId="QuoteChar">
    <w:name w:val="Quote Char"/>
    <w:basedOn w:val="DefaultParagraphFont"/>
    <w:link w:val="Quote"/>
    <w:rsid w:val="00EE59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59B6"/>
    <w:pPr>
      <w:pageBreakBefore/>
    </w:pPr>
  </w:style>
  <w:style w:type="paragraph" w:customStyle="1" w:styleId="Border">
    <w:name w:val="Border"/>
    <w:basedOn w:val="Normal"/>
    <w:qFormat/>
    <w:rsid w:val="00EE59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59B6"/>
    <w:rPr>
      <w:b/>
      <w:bCs/>
      <w:i/>
      <w:iCs/>
      <w:color w:val="auto"/>
    </w:rPr>
  </w:style>
  <w:style w:type="paragraph" w:styleId="IntenseQuote">
    <w:name w:val="Intense Quote"/>
    <w:basedOn w:val="Normal"/>
    <w:next w:val="Normal"/>
    <w:link w:val="IntenseQuoteChar"/>
    <w:uiPriority w:val="30"/>
    <w:qFormat/>
    <w:rsid w:val="00EE59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59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59B6"/>
    <w:rPr>
      <w:smallCaps/>
      <w:color w:val="auto"/>
      <w:u w:val="single"/>
    </w:rPr>
  </w:style>
  <w:style w:type="character" w:styleId="IntenseReference">
    <w:name w:val="Intense Reference"/>
    <w:basedOn w:val="DefaultParagraphFont"/>
    <w:uiPriority w:val="32"/>
    <w:qFormat/>
    <w:rsid w:val="00EE59B6"/>
    <w:rPr>
      <w:b/>
      <w:bCs/>
      <w:smallCaps/>
      <w:color w:val="auto"/>
      <w:spacing w:val="5"/>
      <w:u w:val="single"/>
    </w:rPr>
  </w:style>
  <w:style w:type="paragraph" w:customStyle="1" w:styleId="2ColumnHeading">
    <w:name w:val="2Column Heading"/>
    <w:basedOn w:val="BodyText"/>
    <w:qFormat/>
    <w:rsid w:val="00EE59B6"/>
    <w:pPr>
      <w:spacing w:after="60"/>
      <w:ind w:left="-2268"/>
    </w:pPr>
    <w:rPr>
      <w:b/>
    </w:rPr>
  </w:style>
  <w:style w:type="paragraph" w:customStyle="1" w:styleId="Heading1TOC">
    <w:name w:val="Heading1 TOC"/>
    <w:basedOn w:val="Normal"/>
    <w:qFormat/>
    <w:rsid w:val="00EE59B6"/>
    <w:pPr>
      <w:spacing w:before="240" w:after="120"/>
    </w:pPr>
    <w:rPr>
      <w:rFonts w:ascii="Times New Roman" w:hAnsi="Times New Roman"/>
      <w:b/>
      <w:sz w:val="32"/>
    </w:rPr>
  </w:style>
  <w:style w:type="paragraph" w:customStyle="1" w:styleId="Heading2TOC">
    <w:name w:val="Heading2 TOC"/>
    <w:basedOn w:val="Normal"/>
    <w:qFormat/>
    <w:rsid w:val="00EE59B6"/>
    <w:pPr>
      <w:spacing w:before="240" w:after="60"/>
    </w:pPr>
    <w:rPr>
      <w:rFonts w:ascii="Times New Roman" w:hAnsi="Times New Roman"/>
      <w:b/>
      <w:sz w:val="28"/>
    </w:rPr>
  </w:style>
  <w:style w:type="character" w:customStyle="1" w:styleId="Underline">
    <w:name w:val="Underline"/>
    <w:basedOn w:val="DefaultParagraphFont"/>
    <w:qFormat/>
    <w:rsid w:val="00EE59B6"/>
    <w:rPr>
      <w:u w:val="single"/>
    </w:rPr>
  </w:style>
  <w:style w:type="character" w:customStyle="1" w:styleId="BoldandItalics">
    <w:name w:val="Bold and Italics"/>
    <w:qFormat/>
    <w:rsid w:val="00EE59B6"/>
    <w:rPr>
      <w:b/>
      <w:i/>
      <w:u w:val="none"/>
    </w:rPr>
  </w:style>
  <w:style w:type="paragraph" w:styleId="BalloonText">
    <w:name w:val="Balloon Text"/>
    <w:basedOn w:val="Normal"/>
    <w:link w:val="BalloonTextChar"/>
    <w:rsid w:val="00EE59B6"/>
    <w:rPr>
      <w:rFonts w:ascii="Tahoma" w:hAnsi="Tahoma" w:cs="Tahoma"/>
      <w:sz w:val="16"/>
      <w:szCs w:val="16"/>
    </w:rPr>
  </w:style>
  <w:style w:type="character" w:customStyle="1" w:styleId="BalloonTextChar">
    <w:name w:val="Balloon Text Char"/>
    <w:basedOn w:val="DefaultParagraphFont"/>
    <w:link w:val="BalloonText"/>
    <w:rsid w:val="00EE59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59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59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59B6"/>
    <w:rPr>
      <w:b/>
      <w:color w:val="660033"/>
      <w:spacing w:val="0"/>
    </w:rPr>
  </w:style>
  <w:style w:type="paragraph" w:customStyle="1" w:styleId="Nameditemlist">
    <w:name w:val="Named item list"/>
    <w:basedOn w:val="BodyText"/>
    <w:qFormat/>
    <w:rsid w:val="00EE59B6"/>
    <w:pPr>
      <w:tabs>
        <w:tab w:val="left" w:pos="2835"/>
      </w:tabs>
      <w:ind w:left="2835" w:hanging="2835"/>
    </w:pPr>
  </w:style>
  <w:style w:type="paragraph" w:customStyle="1" w:styleId="BodyTextnopadding">
    <w:name w:val="Body Text no padding"/>
    <w:basedOn w:val="BodyText"/>
    <w:qFormat/>
    <w:rsid w:val="00EE59B6"/>
    <w:pPr>
      <w:spacing w:before="0" w:after="0"/>
    </w:pPr>
  </w:style>
  <w:style w:type="paragraph" w:customStyle="1" w:styleId="BodyTextBold">
    <w:name w:val="Body Text Bold"/>
    <w:basedOn w:val="BodyText"/>
    <w:qFormat/>
    <w:rsid w:val="00EE59B6"/>
    <w:rPr>
      <w:b/>
    </w:rPr>
  </w:style>
  <w:style w:type="character" w:styleId="Hyperlink">
    <w:name w:val="Hyperlink"/>
    <w:basedOn w:val="DefaultParagraphFont"/>
    <w:uiPriority w:val="99"/>
    <w:unhideWhenUsed/>
    <w:rsid w:val="008C31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652</Words>
  <Characters>4399</Characters>
  <Application>Microsoft Office Word</Application>
  <DocSecurity>0</DocSecurity>
  <Lines>125</Lines>
  <Paragraphs>72</Paragraphs>
  <ScaleCrop>false</ScaleCrop>
  <Company>Author-it Software Corporation Ltd.</Company>
  <LinksUpToDate>false</LinksUpToDate>
  <CharactersWithSpaces>4979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ICTCMP203 Perform restricted customer premises broadband cabling work: ACMA Restricted Rule</dc:title>
  <dc:subject>Approved</dc:subject>
  <dc:creator>Future Skills Organisation</dc:creator>
  <cp:keywords>Release: 1</cp:keywords>
  <dc:description>Review Date: 12 April 2008</dc:description>
  <cp:lastModifiedBy>HSD_TPCMSd.prod</cp:lastModifiedBy>
  <cp:revision>3</cp:revision>
  <dcterms:created xsi:type="dcterms:W3CDTF">2024-12-17T22:46:00Z</dcterms:created>
  <dcterms:modified xsi:type="dcterms:W3CDTF">2024-12-17T22:46:00Z</dcterms:modified>
</cp:coreProperties>
</file>