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011" w:rsidP="00117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ICTBWN309 Perform tests on optical communication system and components</w:t>
      </w:r>
      <w:r>
        <w:fldChar w:fldCharType="end"/>
      </w:r>
    </w:p>
    <w:p w:rsidR="00117011" w:rsidP="00117011">
      <w:pPr>
        <w:pStyle w:val="Version"/>
        <w:sectPr w:rsidSect="00765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D9C" w:rsidP="00765D9C">
      <w:pPr>
        <w:pStyle w:val="SuperHeading"/>
      </w:pPr>
      <w:r w:rsidRPr="00765D9C">
        <w:t>Assessment Requirements for ICTBWN309 Perform tests on optical communication system and components</w:t>
      </w:r>
    </w:p>
    <w:p w:rsidR="00000000" w:rsidRPr="00765D9C" w:rsidP="00765D9C">
      <w:pPr>
        <w:pStyle w:val="Heading1"/>
      </w:pPr>
      <w:bookmarkStart w:id="1" w:name="O_1039578"/>
      <w:bookmarkEnd w:id="1"/>
      <w:r w:rsidRPr="00765D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65D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9C" w:rsidP="00765D9C">
            <w:pPr>
              <w:pStyle w:val="BodyText"/>
            </w:pPr>
            <w:r w:rsidRPr="00765D9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9C">
            <w:pPr>
              <w:pStyle w:val="BodyText"/>
              <w:rPr>
                <w:lang w:val="en-NZ"/>
              </w:rPr>
            </w:pPr>
            <w:r w:rsidRPr="00765D9C">
              <w:rPr>
                <w:rStyle w:val="SpecialBold"/>
              </w:rPr>
              <w:t>Comments</w:t>
            </w:r>
          </w:p>
        </w:tc>
      </w:tr>
      <w:tr w:rsidTr="00765D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9C">
            <w:pPr>
              <w:pStyle w:val="BodyText"/>
              <w:rPr>
                <w:lang w:val="en-NZ"/>
              </w:rPr>
            </w:pPr>
            <w:r w:rsidRPr="00765D9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9C" w:rsidP="00765D9C">
            <w:pPr>
              <w:pStyle w:val="BodyText"/>
            </w:pPr>
            <w:r w:rsidRPr="00765D9C">
              <w:t>This version released with ICT Information and Communications Technology Training Package Version 5.0.</w:t>
            </w:r>
          </w:p>
        </w:tc>
      </w:tr>
    </w:tbl>
    <w:p w:rsidR="00000000" w:rsidRPr="00765D9C" w:rsidP="00765D9C">
      <w:pPr>
        <w:pStyle w:val="BodyText"/>
      </w:pPr>
    </w:p>
    <w:p w:rsidR="00000000" w:rsidRPr="00765D9C" w:rsidP="00765D9C">
      <w:pPr>
        <w:pStyle w:val="AllowPageBreak"/>
      </w:pPr>
    </w:p>
    <w:p w:rsidR="00000000" w:rsidRPr="00765D9C" w:rsidP="00765D9C">
      <w:pPr>
        <w:pStyle w:val="Heading1"/>
      </w:pPr>
      <w:bookmarkStart w:id="2" w:name="O_1039581"/>
      <w:bookmarkEnd w:id="2"/>
      <w:r w:rsidRPr="00765D9C">
        <w:t>Performance Evidence</w:t>
      </w:r>
    </w:p>
    <w:p w:rsidR="00000000" w:rsidRPr="00765D9C" w:rsidP="00117011">
      <w:pPr>
        <w:pStyle w:val="BodyText"/>
      </w:pPr>
      <w:r w:rsidRPr="00765D9C">
        <w:t>The candidate must demonstrate, on two occasions, the ability to perform the tasks outlined in the elements, pe</w:t>
      </w:r>
      <w:r w:rsidRPr="00765D9C">
        <w:t>rformance criteria, and foundation skills, and to:</w:t>
      </w:r>
    </w:p>
    <w:p w:rsidR="00000000" w:rsidRPr="00765D9C" w:rsidP="00765D9C">
      <w:pPr>
        <w:pStyle w:val="ListBullet"/>
      </w:pPr>
      <w:r w:rsidRPr="00765D9C">
        <w:t>carry out work according to job specifications and work health and safety (WHS) regulations</w:t>
      </w:r>
    </w:p>
    <w:p w:rsidR="00000000" w:rsidRPr="00765D9C" w:rsidP="00765D9C">
      <w:pPr>
        <w:pStyle w:val="ListBullet"/>
      </w:pPr>
      <w:r w:rsidRPr="00765D9C">
        <w:t>determine and plan optical tests and measurements</w:t>
      </w:r>
    </w:p>
    <w:p w:rsidR="00000000" w:rsidRPr="00765D9C" w:rsidP="00765D9C">
      <w:pPr>
        <w:pStyle w:val="ListBullet"/>
      </w:pPr>
      <w:r w:rsidRPr="00765D9C">
        <w:t>use the following optical measuring instruments and devices:</w:t>
      </w:r>
    </w:p>
    <w:p w:rsidR="00000000" w:rsidRPr="00765D9C" w:rsidP="00765D9C">
      <w:pPr>
        <w:pStyle w:val="ListBullet2"/>
      </w:pPr>
      <w:r w:rsidRPr="00765D9C">
        <w:t>laser light source including visual laser light source</w:t>
      </w:r>
    </w:p>
    <w:p w:rsidR="00000000" w:rsidRPr="00765D9C" w:rsidP="00765D9C">
      <w:pPr>
        <w:pStyle w:val="ListBullet2"/>
      </w:pPr>
      <w:r w:rsidRPr="00765D9C">
        <w:t>laser power meter</w:t>
      </w:r>
    </w:p>
    <w:p w:rsidR="00000000" w:rsidRPr="00765D9C" w:rsidP="00765D9C">
      <w:pPr>
        <w:pStyle w:val="ListBullet2"/>
      </w:pPr>
      <w:r w:rsidRPr="00765D9C">
        <w:t>passive optical network (PON) meter</w:t>
      </w:r>
    </w:p>
    <w:p w:rsidR="00000000" w:rsidRPr="00765D9C" w:rsidP="00765D9C">
      <w:pPr>
        <w:pStyle w:val="ListBullet2"/>
      </w:pPr>
      <w:r w:rsidRPr="00765D9C">
        <w:t>optical time domain reflectometer (OTDR)</w:t>
      </w:r>
    </w:p>
    <w:p w:rsidR="00000000" w:rsidRPr="00765D9C" w:rsidP="00765D9C">
      <w:pPr>
        <w:pStyle w:val="ListBullet"/>
      </w:pPr>
      <w:r w:rsidRPr="00765D9C">
        <w:t>perform and record optical measurements for:</w:t>
      </w:r>
    </w:p>
    <w:p w:rsidR="00000000" w:rsidRPr="00765D9C" w:rsidP="00765D9C">
      <w:pPr>
        <w:pStyle w:val="ListBullet2"/>
      </w:pPr>
      <w:r w:rsidRPr="00765D9C">
        <w:t>optical power levels</w:t>
      </w:r>
    </w:p>
    <w:p w:rsidR="00000000" w:rsidRPr="00765D9C" w:rsidP="00765D9C">
      <w:pPr>
        <w:pStyle w:val="ListBullet2"/>
      </w:pPr>
      <w:r w:rsidRPr="00765D9C">
        <w:t>insertion loss of a passive device</w:t>
      </w:r>
    </w:p>
    <w:p w:rsidR="00000000" w:rsidRPr="00765D9C" w:rsidP="00765D9C">
      <w:pPr>
        <w:pStyle w:val="ListBullet2"/>
      </w:pPr>
      <w:r w:rsidRPr="00765D9C">
        <w:t>end-to-end fibre loss (bi-directional)</w:t>
      </w:r>
    </w:p>
    <w:p w:rsidR="00000000" w:rsidRPr="00765D9C" w:rsidP="00765D9C">
      <w:pPr>
        <w:pStyle w:val="ListBullet2"/>
      </w:pPr>
      <w:r w:rsidRPr="00765D9C">
        <w:t>splice loss</w:t>
      </w:r>
    </w:p>
    <w:p w:rsidR="00000000" w:rsidRPr="00765D9C" w:rsidP="00765D9C">
      <w:pPr>
        <w:pStyle w:val="ListBullet2"/>
      </w:pPr>
      <w:r w:rsidRPr="00765D9C">
        <w:t>distance to fault, event, end of fibre using an (OTDR)</w:t>
      </w:r>
    </w:p>
    <w:p w:rsidR="00000000" w:rsidRPr="00765D9C" w:rsidP="00765D9C">
      <w:pPr>
        <w:pStyle w:val="ListBullet"/>
      </w:pPr>
      <w:r w:rsidRPr="00765D9C">
        <w:t>assess and make recommendations from the test results</w:t>
      </w:r>
    </w:p>
    <w:p w:rsidR="00000000" w:rsidRPr="00765D9C" w:rsidP="00765D9C">
      <w:pPr>
        <w:pStyle w:val="ListBullet"/>
      </w:pPr>
      <w:r w:rsidRPr="00765D9C">
        <w:t>document and present test outcomes.</w:t>
      </w:r>
    </w:p>
    <w:p w:rsidR="00000000" w:rsidRPr="00765D9C" w:rsidP="00765D9C">
      <w:pPr>
        <w:pStyle w:val="AllowPageBreak"/>
      </w:pPr>
    </w:p>
    <w:p w:rsidR="00000000" w:rsidRPr="00765D9C" w:rsidP="00765D9C">
      <w:pPr>
        <w:pStyle w:val="Heading1"/>
      </w:pPr>
      <w:bookmarkStart w:id="3" w:name="O_1039580"/>
      <w:bookmarkEnd w:id="3"/>
      <w:r w:rsidRPr="00765D9C">
        <w:t>Knowledge Evidence</w:t>
      </w:r>
    </w:p>
    <w:p w:rsidR="00000000" w:rsidRPr="00765D9C" w:rsidP="00117011">
      <w:pPr>
        <w:pStyle w:val="BodyText"/>
      </w:pPr>
      <w:r w:rsidRPr="00765D9C">
        <w:t>The candidate must be</w:t>
      </w:r>
      <w:r w:rsidRPr="00765D9C">
        <w:t xml:space="preserve"> able to demonstrate the knowledge required for the elements, performance criteria, and foundation skills, which includes knowledge about:</w:t>
      </w:r>
    </w:p>
    <w:p w:rsidR="00000000" w:rsidRPr="00765D9C" w:rsidP="00765D9C">
      <w:pPr>
        <w:pStyle w:val="ListBullet"/>
      </w:pPr>
      <w:r w:rsidRPr="00765D9C">
        <w:t>legislation, regulations, codes and standards that impact on work activities</w:t>
      </w:r>
    </w:p>
    <w:p w:rsidR="00000000" w:rsidRPr="00765D9C" w:rsidP="00765D9C">
      <w:pPr>
        <w:pStyle w:val="ListBullet"/>
      </w:pPr>
      <w:r w:rsidRPr="00765D9C">
        <w:t>consequences of mating contaminated optical connectors</w:t>
      </w:r>
    </w:p>
    <w:p w:rsidR="00000000" w:rsidRPr="00765D9C" w:rsidP="00765D9C">
      <w:pPr>
        <w:pStyle w:val="ListBullet"/>
      </w:pPr>
      <w:r w:rsidRPr="00765D9C">
        <w:t>downstream and upstream signals</w:t>
      </w:r>
    </w:p>
    <w:p w:rsidR="00000000" w:rsidRPr="00765D9C" w:rsidP="00765D9C">
      <w:pPr>
        <w:pStyle w:val="ListBullet"/>
      </w:pPr>
      <w:r w:rsidRPr="00765D9C">
        <w:t>dense wavelength division multiplexing (DWDM) metro and long\--haul system architecture</w:t>
      </w:r>
    </w:p>
    <w:p w:rsidR="00000000" w:rsidRPr="00765D9C" w:rsidP="00765D9C">
      <w:pPr>
        <w:pStyle w:val="ListBullet"/>
      </w:pPr>
      <w:r w:rsidRPr="00765D9C">
        <w:t>hybrid fibre coaxial (HFC) architecture (optical section)</w:t>
      </w:r>
    </w:p>
    <w:p w:rsidR="00000000" w:rsidRPr="00765D9C" w:rsidP="00765D9C">
      <w:pPr>
        <w:pStyle w:val="ListBullet"/>
      </w:pPr>
      <w:r w:rsidRPr="00765D9C">
        <w:t>logarithmic power level</w:t>
      </w:r>
      <w:r w:rsidRPr="00765D9C">
        <w:t>s (decibels and dBm)</w:t>
      </w:r>
    </w:p>
    <w:p w:rsidR="00000000" w:rsidRPr="00765D9C" w:rsidP="00765D9C">
      <w:pPr>
        <w:pStyle w:val="ListBullet"/>
      </w:pPr>
      <w:r w:rsidRPr="00765D9C">
        <w:t>optical connector types</w:t>
      </w:r>
    </w:p>
    <w:p w:rsidR="00000000" w:rsidRPr="00765D9C" w:rsidP="00765D9C">
      <w:pPr>
        <w:pStyle w:val="ListBullet"/>
      </w:pPr>
      <w:r w:rsidRPr="00765D9C">
        <w:t>optical fibre and laser safety, practices, handling and application</w:t>
      </w:r>
    </w:p>
    <w:p w:rsidR="00000000" w:rsidRPr="00765D9C" w:rsidP="00765D9C">
      <w:pPr>
        <w:pStyle w:val="ListBullet"/>
      </w:pPr>
      <w:r w:rsidRPr="00765D9C">
        <w:t>optical spectrum limits and wavelengths used in various applications and the International Telecommunications Union (ITU) grid</w:t>
      </w:r>
    </w:p>
    <w:p w:rsidR="00000000" w:rsidRPr="00765D9C" w:rsidP="00765D9C">
      <w:pPr>
        <w:pStyle w:val="ListBullet"/>
      </w:pPr>
      <w:r w:rsidRPr="00765D9C">
        <w:t xml:space="preserve">role of optical </w:t>
      </w:r>
      <w:r w:rsidRPr="00765D9C">
        <w:t>transmitters and receivers</w:t>
      </w:r>
    </w:p>
    <w:p w:rsidR="00000000" w:rsidRPr="00765D9C" w:rsidP="00765D9C">
      <w:pPr>
        <w:pStyle w:val="ListBullet"/>
      </w:pPr>
      <w:r w:rsidRPr="00765D9C">
        <w:t>passive optical network (PON) architecture</w:t>
      </w:r>
    </w:p>
    <w:p w:rsidR="00000000" w:rsidRPr="00765D9C" w:rsidP="00765D9C">
      <w:pPr>
        <w:pStyle w:val="ListBullet"/>
      </w:pPr>
      <w:r w:rsidRPr="00765D9C">
        <w:t>transmission system line rates:</w:t>
      </w:r>
    </w:p>
    <w:p w:rsidR="00000000" w:rsidRPr="00765D9C" w:rsidP="00765D9C">
      <w:pPr>
        <w:pStyle w:val="ListBullet2"/>
      </w:pPr>
      <w:r w:rsidRPr="00765D9C">
        <w:t>optical ethernet</w:t>
      </w:r>
    </w:p>
    <w:p w:rsidR="00000000" w:rsidRPr="00765D9C" w:rsidP="00765D9C">
      <w:pPr>
        <w:pStyle w:val="ListBullet2"/>
      </w:pPr>
      <w:r w:rsidRPr="00765D9C">
        <w:t xml:space="preserve">synchronous digital hierarchy (SDH) </w:t>
      </w:r>
    </w:p>
    <w:p w:rsidR="00000000" w:rsidRPr="00765D9C" w:rsidP="00765D9C">
      <w:pPr>
        <w:pStyle w:val="ListBullet"/>
      </w:pPr>
      <w:r w:rsidRPr="00765D9C">
        <w:t xml:space="preserve">wavelength division multiplexing (WDM), coarse wavelength division multiplexing (CWDM) and </w:t>
      </w:r>
      <w:r w:rsidRPr="00765D9C">
        <w:t>DWDM principles, and optical multiplexers.</w:t>
      </w:r>
    </w:p>
    <w:p w:rsidR="00000000" w:rsidRPr="00765D9C" w:rsidP="00765D9C">
      <w:pPr>
        <w:pStyle w:val="AllowPageBreak"/>
      </w:pPr>
    </w:p>
    <w:p w:rsidR="00000000" w:rsidRPr="00765D9C" w:rsidP="00765D9C">
      <w:pPr>
        <w:pStyle w:val="Heading1"/>
      </w:pPr>
      <w:bookmarkStart w:id="4" w:name="O_1039579"/>
      <w:bookmarkEnd w:id="4"/>
      <w:r w:rsidRPr="00765D9C">
        <w:t>Assessment Conditions</w:t>
      </w:r>
    </w:p>
    <w:p w:rsidR="00000000" w:rsidRPr="00765D9C" w:rsidP="00117011">
      <w:pPr>
        <w:pStyle w:val="BodyText"/>
      </w:pPr>
      <w:r w:rsidRPr="00765D9C">
        <w:t>Skills must be assessed in a workplace or simulated environment where conditions are typical of those in a telecommunications work environment or workplace.</w:t>
      </w:r>
    </w:p>
    <w:p w:rsidR="00000000" w:rsidRPr="00765D9C" w:rsidP="00117011">
      <w:pPr>
        <w:pStyle w:val="BodyText"/>
      </w:pPr>
      <w:r w:rsidRPr="00765D9C">
        <w:t>Access is requi</w:t>
      </w:r>
      <w:r w:rsidRPr="00765D9C">
        <w:t>red to:</w:t>
      </w:r>
    </w:p>
    <w:p w:rsidR="00000000" w:rsidRPr="00765D9C" w:rsidP="00765D9C">
      <w:pPr>
        <w:pStyle w:val="ListBullet"/>
      </w:pPr>
      <w:r w:rsidRPr="00765D9C">
        <w:t>site/s where installation of supporting infrastructure can be conducted</w:t>
      </w:r>
    </w:p>
    <w:p w:rsidR="00000000" w:rsidRPr="00765D9C" w:rsidP="00765D9C">
      <w:pPr>
        <w:pStyle w:val="ListBullet"/>
      </w:pPr>
      <w:r w:rsidRPr="00765D9C">
        <w:t>plant, tools and equipment currently used in industry</w:t>
      </w:r>
    </w:p>
    <w:p w:rsidR="00000000" w:rsidRPr="00765D9C" w:rsidP="00765D9C">
      <w:pPr>
        <w:pStyle w:val="ListBullet"/>
      </w:pPr>
      <w:r w:rsidRPr="00765D9C">
        <w:t>relevant regulatory and equipment documentation that impacts on work activities.</w:t>
      </w:r>
    </w:p>
    <w:p w:rsidR="00000000" w:rsidRPr="00765D9C" w:rsidP="00765D9C">
      <w:pPr>
        <w:pStyle w:val="BodyText"/>
      </w:pPr>
    </w:p>
    <w:p w:rsidR="00000000" w:rsidRPr="00765D9C" w:rsidP="00117011">
      <w:pPr>
        <w:pStyle w:val="BodyText"/>
      </w:pPr>
      <w:r w:rsidRPr="00765D9C">
        <w:t>Assessors of this unit must satisfy the</w:t>
      </w:r>
      <w:r w:rsidRPr="00765D9C">
        <w:t xml:space="preserve"> requirements for assessors in applicable vocational education and training legislation, frameworks and/or standards.</w:t>
      </w:r>
    </w:p>
    <w:p w:rsidR="00000000" w:rsidRPr="00765D9C" w:rsidP="00765D9C">
      <w:pPr>
        <w:pStyle w:val="Heading1"/>
      </w:pPr>
      <w:bookmarkStart w:id="5" w:name="O_1039577"/>
      <w:bookmarkEnd w:id="5"/>
      <w:r w:rsidRPr="00765D9C">
        <w:t>Links</w:t>
      </w:r>
    </w:p>
    <w:p w:rsidR="00000000" w:rsidRPr="00765D9C" w:rsidP="00117011">
      <w:pPr>
        <w:pStyle w:val="BodyText"/>
      </w:pPr>
      <w:r w:rsidRPr="00765D9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3F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5D9C" w:rsidP="00765D9C"/>
    <w:sectPr w:rsidSect="00765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C" w:rsidRPr="00117011" w:rsidP="00117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11" w:rsidP="00765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011" w:rsidP="00765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7011" w:rsidP="00765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D9C" w:rsidRPr="00117011" w:rsidP="00117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11" w:rsidRPr="002D2AF8" w:rsidP="00765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ICTBWN309 Perform tests on optical communication system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17011" w:rsidP="00765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100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6CA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6D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D9C"/>
  </w:style>
  <w:style w:type="character" w:customStyle="1" w:styleId="Heading1Char">
    <w:name w:val="Heading 1 Char"/>
    <w:basedOn w:val="DefaultParagraphFont"/>
    <w:link w:val="Heading1"/>
    <w:rsid w:val="00765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D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D9C"/>
    <w:rPr>
      <w:b/>
      <w:spacing w:val="0"/>
    </w:rPr>
  </w:style>
  <w:style w:type="paragraph" w:styleId="ListBullet2">
    <w:name w:val="List Bullet 2"/>
    <w:basedOn w:val="List2"/>
    <w:rsid w:val="00765D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D9C"/>
    <w:rPr>
      <w:i/>
    </w:rPr>
  </w:style>
  <w:style w:type="paragraph" w:styleId="Caption">
    <w:name w:val="caption"/>
    <w:basedOn w:val="BodyText"/>
    <w:next w:val="Normal"/>
    <w:qFormat/>
    <w:rsid w:val="00765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D9C"/>
  </w:style>
  <w:style w:type="paragraph" w:styleId="TableofFigures">
    <w:name w:val="table of figures"/>
    <w:basedOn w:val="Normal"/>
    <w:next w:val="Normal"/>
    <w:semiHidden/>
    <w:rsid w:val="00765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D9C"/>
    <w:rPr>
      <w:rFonts w:ascii="Wingdings" w:hAnsi="Wingdings"/>
    </w:rPr>
  </w:style>
  <w:style w:type="paragraph" w:customStyle="1" w:styleId="TableHeading">
    <w:name w:val="Table Heading"/>
    <w:basedOn w:val="HeadingBase"/>
    <w:rsid w:val="00765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D9C"/>
    <w:rPr>
      <w:color w:val="0033CC"/>
      <w:u w:val="none"/>
    </w:rPr>
  </w:style>
  <w:style w:type="paragraph" w:customStyle="1" w:styleId="BodyTextRight">
    <w:name w:val="Body Text Right"/>
    <w:basedOn w:val="BodyText"/>
    <w:rsid w:val="00765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D9C"/>
    <w:rPr>
      <w:sz w:val="32"/>
    </w:rPr>
  </w:style>
  <w:style w:type="paragraph" w:customStyle="1" w:styleId="HeadingProcedure">
    <w:name w:val="Heading Procedure"/>
    <w:basedOn w:val="HeadingBase"/>
    <w:next w:val="Normal"/>
    <w:rsid w:val="00765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D9C"/>
    <w:pPr>
      <w:spacing w:before="60" w:after="60"/>
    </w:pPr>
  </w:style>
  <w:style w:type="paragraph" w:styleId="ListContinue">
    <w:name w:val="List Continue"/>
    <w:basedOn w:val="List"/>
    <w:rsid w:val="00765D9C"/>
    <w:pPr>
      <w:ind w:firstLine="0"/>
    </w:pPr>
  </w:style>
  <w:style w:type="paragraph" w:customStyle="1" w:styleId="ListNote">
    <w:name w:val="List Note"/>
    <w:basedOn w:val="List"/>
    <w:rsid w:val="00765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D9C"/>
    <w:rPr>
      <w:rFonts w:ascii="Courier New" w:hAnsi="Courier New"/>
    </w:rPr>
  </w:style>
  <w:style w:type="paragraph" w:customStyle="1" w:styleId="NoteBullet">
    <w:name w:val="Note Bullet"/>
    <w:basedOn w:val="Note"/>
    <w:rsid w:val="00765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D9C"/>
    <w:rPr>
      <w:b/>
      <w:smallCaps/>
    </w:rPr>
  </w:style>
  <w:style w:type="paragraph" w:customStyle="1" w:styleId="TableListNumber">
    <w:name w:val="Table List Number"/>
    <w:basedOn w:val="ListNumber"/>
    <w:rsid w:val="00765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D9C"/>
    <w:pPr>
      <w:numPr>
        <w:numId w:val="9"/>
      </w:numPr>
    </w:pPr>
  </w:style>
  <w:style w:type="paragraph" w:customStyle="1" w:styleId="ListAlpha2">
    <w:name w:val="List Alpha 2"/>
    <w:basedOn w:val="List2"/>
    <w:rsid w:val="00765D9C"/>
    <w:pPr>
      <w:numPr>
        <w:numId w:val="8"/>
      </w:numPr>
    </w:pPr>
  </w:style>
  <w:style w:type="paragraph" w:styleId="List2">
    <w:name w:val="List 2"/>
    <w:basedOn w:val="BodyText"/>
    <w:rsid w:val="00765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D9C"/>
    <w:pPr>
      <w:numPr>
        <w:numId w:val="4"/>
      </w:numPr>
    </w:pPr>
  </w:style>
  <w:style w:type="paragraph" w:styleId="ListContinue2">
    <w:name w:val="List Continue 2"/>
    <w:basedOn w:val="List2"/>
    <w:rsid w:val="00765D9C"/>
    <w:pPr>
      <w:ind w:firstLine="0"/>
    </w:pPr>
  </w:style>
  <w:style w:type="paragraph" w:styleId="ListContinue3">
    <w:name w:val="List Continue 3"/>
    <w:basedOn w:val="List3"/>
    <w:rsid w:val="00765D9C"/>
    <w:pPr>
      <w:ind w:left="1021" w:firstLine="0"/>
    </w:pPr>
  </w:style>
  <w:style w:type="paragraph" w:styleId="ListContinue4">
    <w:name w:val="List Continue 4"/>
    <w:basedOn w:val="List4"/>
    <w:rsid w:val="00765D9C"/>
    <w:pPr>
      <w:ind w:firstLine="0"/>
    </w:pPr>
  </w:style>
  <w:style w:type="paragraph" w:styleId="ListContinue5">
    <w:name w:val="List Continue 5"/>
    <w:basedOn w:val="List5"/>
    <w:rsid w:val="00765D9C"/>
    <w:pPr>
      <w:ind w:firstLine="0"/>
    </w:pPr>
  </w:style>
  <w:style w:type="paragraph" w:styleId="ListNumber3">
    <w:name w:val="List Number 3"/>
    <w:basedOn w:val="List3"/>
    <w:rsid w:val="00765D9C"/>
    <w:pPr>
      <w:numPr>
        <w:numId w:val="5"/>
      </w:numPr>
    </w:pPr>
  </w:style>
  <w:style w:type="paragraph" w:styleId="ListNumber4">
    <w:name w:val="List Number 4"/>
    <w:basedOn w:val="List4"/>
    <w:rsid w:val="00765D9C"/>
    <w:pPr>
      <w:numPr>
        <w:numId w:val="6"/>
      </w:numPr>
    </w:pPr>
  </w:style>
  <w:style w:type="paragraph" w:styleId="ListNumber5">
    <w:name w:val="List Number 5"/>
    <w:basedOn w:val="List5"/>
    <w:rsid w:val="00765D9C"/>
    <w:pPr>
      <w:numPr>
        <w:numId w:val="7"/>
      </w:numPr>
    </w:pPr>
  </w:style>
  <w:style w:type="paragraph" w:styleId="BlockText">
    <w:name w:val="Block Text"/>
    <w:basedOn w:val="Normal"/>
    <w:rsid w:val="00765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D9C"/>
    <w:rPr>
      <w:sz w:val="16"/>
      <w:vertAlign w:val="superscript"/>
    </w:rPr>
  </w:style>
  <w:style w:type="character" w:customStyle="1" w:styleId="Symbols">
    <w:name w:val="Symbols"/>
    <w:basedOn w:val="DefaultParagraphFont"/>
    <w:rsid w:val="00765D9C"/>
    <w:rPr>
      <w:rFonts w:ascii="Symbol" w:hAnsi="Symbol"/>
    </w:rPr>
  </w:style>
  <w:style w:type="character" w:customStyle="1" w:styleId="MenuOptions">
    <w:name w:val="Menu Options"/>
    <w:basedOn w:val="DefaultParagraphFont"/>
    <w:rsid w:val="00765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D9C"/>
    <w:rPr>
      <w:b/>
    </w:rPr>
  </w:style>
  <w:style w:type="character" w:customStyle="1" w:styleId="Underlined">
    <w:name w:val="Underlined"/>
    <w:basedOn w:val="DefaultParagraphFont"/>
    <w:rsid w:val="00765D9C"/>
    <w:rPr>
      <w:u w:val="single"/>
    </w:rPr>
  </w:style>
  <w:style w:type="paragraph" w:customStyle="1" w:styleId="TableBodyTextRight">
    <w:name w:val="Table Body Text Right"/>
    <w:basedOn w:val="TableBodyText"/>
    <w:rsid w:val="00765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D9C"/>
    <w:rPr>
      <w:sz w:val="18"/>
    </w:rPr>
  </w:style>
  <w:style w:type="paragraph" w:customStyle="1" w:styleId="BodySmallRight">
    <w:name w:val="Body Small Right"/>
    <w:basedOn w:val="BodyTextRight"/>
    <w:rsid w:val="00765D9C"/>
    <w:rPr>
      <w:sz w:val="18"/>
      <w:szCs w:val="18"/>
    </w:rPr>
  </w:style>
  <w:style w:type="paragraph" w:customStyle="1" w:styleId="MarginEdition">
    <w:name w:val="Margin Edition"/>
    <w:basedOn w:val="MarginNote"/>
    <w:rsid w:val="00765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D9C"/>
    <w:rPr>
      <w:sz w:val="2"/>
      <w:szCs w:val="2"/>
    </w:rPr>
  </w:style>
  <w:style w:type="character" w:customStyle="1" w:styleId="Small">
    <w:name w:val="Small"/>
    <w:basedOn w:val="DefaultParagraphFont"/>
    <w:rsid w:val="00765D9C"/>
    <w:rPr>
      <w:sz w:val="16"/>
    </w:rPr>
  </w:style>
  <w:style w:type="paragraph" w:customStyle="1" w:styleId="WideTable">
    <w:name w:val="Wide Table"/>
    <w:basedOn w:val="Normal"/>
    <w:rsid w:val="00765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D9C"/>
  </w:style>
  <w:style w:type="paragraph" w:styleId="Quote">
    <w:name w:val="Quote"/>
    <w:basedOn w:val="Heading1"/>
    <w:link w:val="QuoteChar"/>
    <w:qFormat/>
    <w:rsid w:val="00765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D9C"/>
    <w:pPr>
      <w:pageBreakBefore/>
    </w:pPr>
  </w:style>
  <w:style w:type="paragraph" w:customStyle="1" w:styleId="Border">
    <w:name w:val="Border"/>
    <w:basedOn w:val="Normal"/>
    <w:qFormat/>
    <w:rsid w:val="00765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D9C"/>
    <w:rPr>
      <w:u w:val="single"/>
    </w:rPr>
  </w:style>
  <w:style w:type="character" w:customStyle="1" w:styleId="BoldandItalics">
    <w:name w:val="Bold and Italics"/>
    <w:qFormat/>
    <w:rsid w:val="00765D9C"/>
    <w:rPr>
      <w:b/>
      <w:i/>
      <w:u w:val="none"/>
    </w:rPr>
  </w:style>
  <w:style w:type="paragraph" w:styleId="BalloonText">
    <w:name w:val="Balloon Text"/>
    <w:basedOn w:val="Normal"/>
    <w:link w:val="BalloonTextChar"/>
    <w:rsid w:val="00765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D9C"/>
    <w:pPr>
      <w:spacing w:before="0" w:after="0"/>
    </w:pPr>
  </w:style>
  <w:style w:type="paragraph" w:customStyle="1" w:styleId="BodyTextBold">
    <w:name w:val="Body Text Bold"/>
    <w:basedOn w:val="BodyText"/>
    <w:qFormat/>
    <w:rsid w:val="00765D9C"/>
    <w:rPr>
      <w:b/>
    </w:rPr>
  </w:style>
  <w:style w:type="character" w:styleId="Hyperlink">
    <w:name w:val="Hyperlink"/>
    <w:basedOn w:val="DefaultParagraphFont"/>
    <w:uiPriority w:val="99"/>
    <w:unhideWhenUsed/>
    <w:rsid w:val="00117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2751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ICTBWN309 Perform tests on optical communication system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