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752" w:rsidP="00673752">
      <w:pPr>
        <w:pStyle w:val="Title"/>
      </w:pPr>
      <w:r>
        <w:fldChar w:fldCharType="begin"/>
      </w:r>
      <w:r>
        <w:instrText xml:space="preserve"> TITLE   \* MERGEFORMAT </w:instrText>
      </w:r>
      <w:r>
        <w:fldChar w:fldCharType="separate"/>
      </w:r>
      <w:r>
        <w:t>ICTBWN308 Work safely on live optical fibre installations</w:t>
      </w:r>
      <w:r>
        <w:fldChar w:fldCharType="end"/>
      </w:r>
    </w:p>
    <w:p w:rsidR="00673752" w:rsidP="00673752">
      <w:pPr>
        <w:pStyle w:val="Version"/>
        <w:sectPr w:rsidSect="00A00C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CE9" w:rsidP="00A00CE9">
      <w:pPr>
        <w:pStyle w:val="SuperHeading"/>
      </w:pPr>
      <w:r w:rsidRPr="00A00CE9">
        <w:t>ICTBWN308 Work safely on live optical fibre installations</w:t>
      </w:r>
    </w:p>
    <w:p w:rsidR="00000000" w:rsidRPr="00A00CE9" w:rsidP="00A00CE9">
      <w:pPr>
        <w:pStyle w:val="Heading1"/>
      </w:pPr>
      <w:bookmarkStart w:id="1" w:name="O_1039599"/>
      <w:bookmarkEnd w:id="1"/>
      <w:r w:rsidRPr="00A00CE9">
        <w:t>Modification History</w:t>
      </w:r>
    </w:p>
    <w:tbl>
      <w:tblPr>
        <w:tblW w:w="9522" w:type="dxa"/>
        <w:tblLayout w:type="fixed"/>
        <w:tblCellMar>
          <w:left w:w="62" w:type="dxa"/>
          <w:right w:w="62" w:type="dxa"/>
        </w:tblCellMar>
        <w:tblLook w:val="0000"/>
      </w:tblPr>
      <w:tblGrid>
        <w:gridCol w:w="1785"/>
        <w:gridCol w:w="7737"/>
      </w:tblGrid>
      <w:tr w:rsidTr="00A00CE9">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BodyText"/>
            </w:pPr>
            <w:r w:rsidRPr="00A00CE9">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rPr>
                <w:rStyle w:val="SpecialBold"/>
              </w:rPr>
              <w:t>Comments</w:t>
            </w:r>
          </w:p>
        </w:tc>
      </w:tr>
      <w:tr w:rsidTr="00A00CE9">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BodyText"/>
            </w:pPr>
            <w:r w:rsidRPr="00A00CE9">
              <w:t>This version released with ICT Information and Communications Technology Training Package Release 5.0.</w:t>
            </w:r>
          </w:p>
        </w:tc>
      </w:tr>
    </w:tbl>
    <w:p w:rsidR="00000000" w:rsidRPr="00A00CE9" w:rsidP="00A00CE9">
      <w:pPr>
        <w:pStyle w:val="BodyText"/>
      </w:pPr>
    </w:p>
    <w:p w:rsidR="00000000" w:rsidRPr="00A00CE9" w:rsidP="00A00CE9">
      <w:pPr>
        <w:pStyle w:val="AllowPageBreak"/>
      </w:pPr>
    </w:p>
    <w:p w:rsidR="00000000" w:rsidRPr="00A00CE9" w:rsidP="00A00CE9">
      <w:pPr>
        <w:pStyle w:val="Heading1"/>
      </w:pPr>
      <w:bookmarkStart w:id="2" w:name="O_1039606"/>
      <w:bookmarkEnd w:id="2"/>
      <w:r w:rsidRPr="00A00CE9">
        <w:t>Application</w:t>
      </w:r>
    </w:p>
    <w:p w:rsidR="00000000" w:rsidRPr="00A00CE9" w:rsidP="00673752">
      <w:pPr>
        <w:pStyle w:val="BodyText"/>
      </w:pPr>
      <w:r w:rsidRPr="00A00CE9">
        <w:t>This unit describes the skills and knowledge required</w:t>
      </w:r>
      <w:r w:rsidRPr="00A00CE9">
        <w:t xml:space="preserve"> to work safely on a live optical fibre installation to test and commission a wavelength division multiplexing (WDM) system and to connect a splitter for fibre to the x (FTTx) deployment.</w:t>
      </w:r>
    </w:p>
    <w:p w:rsidR="00000000" w:rsidRPr="00A00CE9" w:rsidP="00673752">
      <w:pPr>
        <w:pStyle w:val="BodyText"/>
      </w:pPr>
      <w:r w:rsidRPr="00A00CE9">
        <w:t>It applies to fibre technicians who engage in safe work practices as</w:t>
      </w:r>
      <w:r w:rsidRPr="00A00CE9">
        <w:t xml:space="preserve"> members of a team using emerging technologies to deliver very high-speed broadband capacity through the access network for the national broadband network (NBN) initiative.</w:t>
      </w:r>
    </w:p>
    <w:p w:rsidR="00000000" w:rsidRPr="00A00CE9" w:rsidP="00673752">
      <w:pPr>
        <w:pStyle w:val="BodyText"/>
      </w:pPr>
      <w:r w:rsidRPr="00A00CE9">
        <w:t>No licensing, legislative or certification requirements apply to this unit at the t</w:t>
      </w:r>
      <w:r w:rsidRPr="00A00CE9">
        <w:t xml:space="preserve">ime of publication. </w:t>
      </w:r>
    </w:p>
    <w:p w:rsidR="00000000" w:rsidRPr="00A00CE9" w:rsidP="00A00CE9">
      <w:pPr>
        <w:pStyle w:val="Heading1"/>
      </w:pPr>
      <w:bookmarkStart w:id="3" w:name="O_1039605"/>
      <w:bookmarkEnd w:id="3"/>
      <w:r w:rsidRPr="00A00CE9">
        <w:t>Pre-requisite Unit</w:t>
      </w:r>
    </w:p>
    <w:p w:rsidR="00000000" w:rsidRPr="00A00CE9" w:rsidP="00673752">
      <w:pPr>
        <w:pStyle w:val="BodyText"/>
      </w:pPr>
      <w:r w:rsidRPr="00A00CE9">
        <w:t xml:space="preserve">ICTBWN307 Use optical measuring instruments </w:t>
      </w:r>
    </w:p>
    <w:p w:rsidR="00000000" w:rsidRPr="00A00CE9" w:rsidP="00673752">
      <w:pPr>
        <w:pStyle w:val="BodyText"/>
      </w:pPr>
      <w:r w:rsidRPr="00A00CE9">
        <w:t>ICTWHS204 Follow work health and safety and environmental policy and procedures</w:t>
      </w:r>
    </w:p>
    <w:p w:rsidR="00000000" w:rsidRPr="00A00CE9" w:rsidP="00A00CE9">
      <w:pPr>
        <w:pStyle w:val="Heading1"/>
      </w:pPr>
      <w:bookmarkStart w:id="4" w:name="O_1039604"/>
      <w:bookmarkEnd w:id="4"/>
      <w:r w:rsidRPr="00A00CE9">
        <w:t>Unit Sector</w:t>
      </w:r>
    </w:p>
    <w:p w:rsidR="00000000" w:rsidRPr="00A00CE9" w:rsidP="00673752">
      <w:pPr>
        <w:pStyle w:val="BodyText"/>
      </w:pPr>
      <w:r w:rsidRPr="00A00CE9">
        <w:t>Telecommunications – Broadband and Wirele</w:t>
      </w:r>
      <w:r w:rsidRPr="00A00CE9">
        <w:t>ss Networks</w:t>
      </w:r>
    </w:p>
    <w:p w:rsidR="00000000" w:rsidRPr="00A00CE9" w:rsidP="00A00CE9">
      <w:pPr>
        <w:pStyle w:val="Heading1"/>
      </w:pPr>
      <w:bookmarkStart w:id="5" w:name="O_1039603"/>
      <w:bookmarkEnd w:id="5"/>
      <w:r w:rsidRPr="00A00CE9">
        <w:t>Elements and Performance Criteria</w:t>
      </w:r>
    </w:p>
    <w:tbl>
      <w:tblPr>
        <w:tblW w:w="9568" w:type="dxa"/>
        <w:tblLayout w:type="fixed"/>
        <w:tblCellMar>
          <w:left w:w="62" w:type="dxa"/>
          <w:right w:w="62" w:type="dxa"/>
        </w:tblCellMar>
        <w:tblLook w:val="0000"/>
      </w:tblPr>
      <w:tblGrid>
        <w:gridCol w:w="1943"/>
        <w:gridCol w:w="7625"/>
      </w:tblGrid>
      <w:tr w:rsidTr="00A00CE9">
        <w:tblPrEx>
          <w:tblW w:w="9568" w:type="dxa"/>
          <w:tblLayout w:type="fixed"/>
          <w:tblCellMar>
            <w:left w:w="62" w:type="dxa"/>
            <w:right w:w="62" w:type="dxa"/>
          </w:tblCellMar>
          <w:tblLook w:val="0000"/>
        </w:tblPrEx>
        <w:trPr>
          <w:tblHeader/>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BodyText"/>
            </w:pPr>
            <w:r w:rsidRPr="00A00CE9">
              <w:rPr>
                <w:rStyle w:val="SpecialBold"/>
              </w:rPr>
              <w:t>Elements</w:t>
            </w:r>
          </w:p>
        </w:tc>
        <w:tc>
          <w:tcPr>
            <w:tcW w:w="7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rPr>
                <w:rStyle w:val="SpecialBold"/>
              </w:rPr>
              <w:t>Performance Criteria</w:t>
            </w:r>
          </w:p>
        </w:tc>
      </w:tr>
      <w:tr w:rsidTr="00A00CE9">
        <w:tblPrEx>
          <w:tblW w:w="9568"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BodyText"/>
            </w:pPr>
            <w:r w:rsidRPr="00A00CE9">
              <w:rPr>
                <w:rStyle w:val="Emphasis"/>
              </w:rPr>
              <w:t>Elements describe the essential outcomes</w:t>
            </w:r>
          </w:p>
        </w:tc>
        <w:tc>
          <w:tcPr>
            <w:tcW w:w="7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rPr>
                <w:rStyle w:val="Emphasis"/>
              </w:rPr>
              <w:t>Performance criteria describe the performance needed to demonstrate achievement of the element.</w:t>
            </w:r>
            <w:r w:rsidRPr="00A00CE9">
              <w:t xml:space="preserve"> </w:t>
            </w:r>
          </w:p>
        </w:tc>
      </w:tr>
      <w:tr w:rsidTr="00A00CE9">
        <w:tblPrEx>
          <w:tblW w:w="9568" w:type="dxa"/>
          <w:tblLayout w:type="fixed"/>
          <w:tblCellMar>
            <w:left w:w="62" w:type="dxa"/>
            <w:right w:w="62" w:type="dxa"/>
          </w:tblCellMar>
          <w:tblLook w:val="0000"/>
        </w:tblPrEx>
        <w:trPr>
          <w:trHeight w:val="20"/>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1. Set up and prepare to work with live fibre</w:t>
            </w:r>
          </w:p>
        </w:tc>
        <w:tc>
          <w:tcPr>
            <w:tcW w:w="7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BodyText"/>
            </w:pPr>
            <w:r w:rsidRPr="00A00CE9">
              <w:t>1.1 Scope work by obtaining project plan from appropriate personnel, and arrange for site access to comply with security arrangements</w:t>
            </w:r>
          </w:p>
          <w:p w:rsidR="00000000" w:rsidRPr="00A00CE9" w:rsidP="00A00CE9">
            <w:pPr>
              <w:pStyle w:val="BodyText"/>
            </w:pPr>
            <w:r w:rsidRPr="00A00CE9">
              <w:t>1.2 Identify hazards, assess work health and safety (WHS) risks, and impleme</w:t>
            </w:r>
            <w:r w:rsidRPr="00A00CE9">
              <w:t>nt control measures according to workplace procedures</w:t>
            </w:r>
          </w:p>
          <w:p w:rsidR="00000000" w:rsidRPr="00A00CE9" w:rsidP="00A00CE9">
            <w:pPr>
              <w:pStyle w:val="BodyText"/>
            </w:pPr>
            <w:r w:rsidRPr="00A00CE9">
              <w:t>1.3 Notify appropriate personnel of identified worksite safety hazards</w:t>
            </w:r>
          </w:p>
          <w:p w:rsidR="00000000" w:rsidRPr="00A00CE9" w:rsidP="00A00CE9">
            <w:pPr>
              <w:pStyle w:val="BodyText"/>
            </w:pPr>
            <w:r w:rsidRPr="00A00CE9">
              <w:t>1.4 Determine FTTx equipment, components of optical distribution network (ODN) and WDM components, from project plan, for testing a</w:t>
            </w:r>
            <w:r w:rsidRPr="00A00CE9">
              <w:t>nd commissioning</w:t>
            </w:r>
          </w:p>
          <w:p w:rsidR="00000000" w:rsidRPr="00A00CE9" w:rsidP="00A00CE9">
            <w:pPr>
              <w:pStyle w:val="BodyText"/>
            </w:pPr>
            <w:r w:rsidRPr="00A00CE9">
              <w:t>1.5 Obtain required tools, safety equipment and materials to perform tasks safely and efficiently</w:t>
            </w:r>
          </w:p>
          <w:p w:rsidR="00000000" w:rsidP="00A00CE9">
            <w:pPr>
              <w:pStyle w:val="BodyText"/>
              <w:rPr>
                <w:lang w:val="en-NZ"/>
              </w:rPr>
            </w:pPr>
            <w:r w:rsidRPr="00A00CE9">
              <w:t>1.6 Select and use required personal protective equipment, and make site safe and secure for commissioning work</w:t>
            </w:r>
          </w:p>
        </w:tc>
      </w:tr>
      <w:tr w:rsidTr="00A00CE9">
        <w:tblPrEx>
          <w:tblW w:w="9568" w:type="dxa"/>
          <w:tblLayout w:type="fixed"/>
          <w:tblCellMar>
            <w:left w:w="62" w:type="dxa"/>
            <w:right w:w="62" w:type="dxa"/>
          </w:tblCellMar>
          <w:tblLook w:val="0000"/>
        </w:tblPrEx>
        <w:trPr>
          <w:trHeight w:val="20"/>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2. Connect splitter input fibre to feeder cable</w:t>
            </w:r>
          </w:p>
        </w:tc>
        <w:tc>
          <w:tcPr>
            <w:tcW w:w="7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BodyText"/>
            </w:pPr>
            <w:r w:rsidRPr="00A00CE9">
              <w:t>2.1 Identify and avoid disconnection of other services</w:t>
            </w:r>
          </w:p>
          <w:p w:rsidR="00000000" w:rsidRPr="00A00CE9" w:rsidP="00A00CE9">
            <w:pPr>
              <w:pStyle w:val="BodyText"/>
            </w:pPr>
            <w:r w:rsidRPr="00A00CE9">
              <w:t>2.2 Monitor implementation of control measures and revise as necessary</w:t>
            </w:r>
          </w:p>
          <w:p w:rsidR="00000000" w:rsidRPr="00A00CE9" w:rsidP="00A00CE9">
            <w:pPr>
              <w:pStyle w:val="BodyText"/>
            </w:pPr>
            <w:r w:rsidRPr="00A00CE9">
              <w:t>2.3 Locate feeder fibre port to be connected</w:t>
            </w:r>
          </w:p>
          <w:p w:rsidR="00000000" w:rsidRPr="00A00CE9" w:rsidP="00A00CE9">
            <w:pPr>
              <w:pStyle w:val="BodyText"/>
            </w:pPr>
            <w:r w:rsidRPr="00A00CE9">
              <w:t>2.4 Ensure power is turned off at sou</w:t>
            </w:r>
            <w:r w:rsidRPr="00A00CE9">
              <w:t>rce</w:t>
            </w:r>
          </w:p>
          <w:p w:rsidR="00000000" w:rsidRPr="00A00CE9" w:rsidP="00A00CE9">
            <w:pPr>
              <w:pStyle w:val="BodyText"/>
            </w:pPr>
            <w:r w:rsidRPr="00A00CE9">
              <w:t xml:space="preserve">2.5 Connect connectorised splitter input fibres according to manufacturer specifications </w:t>
            </w:r>
          </w:p>
          <w:p w:rsidR="00000000" w:rsidP="00A00CE9">
            <w:pPr>
              <w:pStyle w:val="BodyText"/>
              <w:rPr>
                <w:lang w:val="en-NZ"/>
              </w:rPr>
            </w:pPr>
            <w:r w:rsidRPr="00A00CE9">
              <w:t>2.6 Arrange for power to be turned back on to newly connected feeder port</w:t>
            </w:r>
          </w:p>
        </w:tc>
      </w:tr>
      <w:tr w:rsidTr="00A00CE9">
        <w:tblPrEx>
          <w:tblW w:w="9568" w:type="dxa"/>
          <w:tblLayout w:type="fixed"/>
          <w:tblCellMar>
            <w:left w:w="62" w:type="dxa"/>
            <w:right w:w="62" w:type="dxa"/>
          </w:tblCellMar>
          <w:tblLook w:val="0000"/>
        </w:tblPrEx>
        <w:trPr>
          <w:trHeight w:val="20"/>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3. Perform live WDM commission testing of ODN installation used in FTTx network</w:t>
            </w:r>
          </w:p>
        </w:tc>
        <w:tc>
          <w:tcPr>
            <w:tcW w:w="7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BodyText"/>
            </w:pPr>
            <w:r w:rsidRPr="00A00CE9">
              <w:t>3.1 Loc</w:t>
            </w:r>
            <w:r w:rsidRPr="00A00CE9">
              <w:t>ate appropriate test points in ODN from manufacturer instructions for WDM testing</w:t>
            </w:r>
          </w:p>
          <w:p w:rsidR="00000000" w:rsidRPr="00A00CE9" w:rsidP="00A00CE9">
            <w:pPr>
              <w:pStyle w:val="BodyText"/>
            </w:pPr>
            <w:r w:rsidRPr="00A00CE9">
              <w:t>3.2 Test live wavelengths for WDM tests according to safety precautions</w:t>
            </w:r>
          </w:p>
          <w:p w:rsidR="00000000" w:rsidRPr="00A00CE9" w:rsidP="00A00CE9">
            <w:pPr>
              <w:pStyle w:val="BodyText"/>
            </w:pPr>
            <w:r w:rsidRPr="00A00CE9">
              <w:t xml:space="preserve">3.3 Test optical signal strengths for operating wavelengths incoming into optical network termination </w:t>
            </w:r>
            <w:r w:rsidRPr="00A00CE9">
              <w:t>(ONT) and determine if signal strengths are within range of acceptable power levels</w:t>
            </w:r>
          </w:p>
          <w:p w:rsidR="00000000" w:rsidRPr="00A00CE9" w:rsidP="00A00CE9">
            <w:pPr>
              <w:pStyle w:val="BodyText"/>
            </w:pPr>
            <w:r w:rsidRPr="00A00CE9">
              <w:t>3.4 Test losses between WDM outputs and individual line multiplexers (LM) for each wavelength, and determine if within maximum and minimum power losses</w:t>
            </w:r>
          </w:p>
          <w:p w:rsidR="00000000" w:rsidRPr="00A00CE9" w:rsidP="00A00CE9">
            <w:pPr>
              <w:pStyle w:val="BodyText"/>
            </w:pPr>
            <w:r w:rsidRPr="00A00CE9">
              <w:t>3.5 Conduct all manu</w:t>
            </w:r>
            <w:r w:rsidRPr="00A00CE9">
              <w:t xml:space="preserve">facturer specified acceptance tests </w:t>
            </w:r>
          </w:p>
          <w:p w:rsidR="00000000" w:rsidP="00A00CE9">
            <w:pPr>
              <w:pStyle w:val="BodyText"/>
              <w:rPr>
                <w:lang w:val="en-NZ"/>
              </w:rPr>
            </w:pPr>
            <w:r w:rsidRPr="00A00CE9">
              <w:t>3.6 Record and tabulate all test results for commissioning requirements</w:t>
            </w:r>
          </w:p>
        </w:tc>
      </w:tr>
      <w:tr w:rsidTr="00A00CE9">
        <w:tblPrEx>
          <w:tblW w:w="9568" w:type="dxa"/>
          <w:tblLayout w:type="fixed"/>
          <w:tblCellMar>
            <w:left w:w="62" w:type="dxa"/>
            <w:right w:w="62" w:type="dxa"/>
          </w:tblCellMar>
          <w:tblLook w:val="0000"/>
        </w:tblPrEx>
        <w:trPr>
          <w:trHeight w:val="1125"/>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4. Complete installation process</w:t>
            </w:r>
          </w:p>
        </w:tc>
        <w:tc>
          <w:tcPr>
            <w:tcW w:w="7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BodyText"/>
            </w:pPr>
            <w:r w:rsidRPr="00A00CE9">
              <w:t>4.1 Seal and secure any enclosures and cabinets</w:t>
            </w:r>
          </w:p>
          <w:p w:rsidR="00000000" w:rsidRPr="00A00CE9" w:rsidP="00A00CE9">
            <w:pPr>
              <w:pStyle w:val="BodyText"/>
            </w:pPr>
            <w:r w:rsidRPr="00A00CE9">
              <w:t>4.2 Remove waste and debris from worksite and dispose of accordin</w:t>
            </w:r>
            <w:r w:rsidRPr="00A00CE9">
              <w:t xml:space="preserve">g to environmental requirements </w:t>
            </w:r>
          </w:p>
          <w:p w:rsidR="00000000" w:rsidRPr="00A00CE9" w:rsidP="00A00CE9">
            <w:pPr>
              <w:pStyle w:val="BodyText"/>
            </w:pPr>
            <w:r w:rsidRPr="00A00CE9">
              <w:t>4.3 Notify appropriate personnel of job completion and obtain sign-off</w:t>
            </w:r>
          </w:p>
        </w:tc>
      </w:tr>
    </w:tbl>
    <w:p w:rsidR="00000000" w:rsidRPr="00A00CE9" w:rsidP="00A00CE9">
      <w:pPr>
        <w:pStyle w:val="BodyText"/>
      </w:pPr>
    </w:p>
    <w:p w:rsidR="00000000" w:rsidRPr="00A00CE9" w:rsidP="00A00CE9">
      <w:pPr>
        <w:pStyle w:val="AllowPageBreak"/>
      </w:pPr>
    </w:p>
    <w:p w:rsidR="00000000" w:rsidRPr="00A00CE9" w:rsidP="00A00CE9">
      <w:pPr>
        <w:pStyle w:val="Heading1"/>
      </w:pPr>
      <w:bookmarkStart w:id="6" w:name="O_1039602"/>
      <w:bookmarkEnd w:id="6"/>
      <w:r w:rsidRPr="00A00CE9">
        <w:t>Foundation Skills</w:t>
      </w:r>
    </w:p>
    <w:p w:rsidR="00000000" w:rsidRPr="00673752" w:rsidP="00673752">
      <w:pPr>
        <w:pStyle w:val="BodyText"/>
        <w:rPr>
          <w:i/>
        </w:rPr>
      </w:pPr>
      <w:r w:rsidRPr="0067375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A00CE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BodyText"/>
            </w:pPr>
            <w:r w:rsidRPr="00A00CE9">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rPr>
                <w:rStyle w:val="SpecialBold"/>
              </w:rPr>
              <w:t>Description</w:t>
            </w:r>
          </w:p>
        </w:tc>
      </w:tr>
      <w:tr w:rsidTr="00A00CE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ListBullet"/>
              <w:rPr>
                <w:lang w:val="en-NZ"/>
              </w:rPr>
            </w:pPr>
            <w:r w:rsidRPr="00A00CE9">
              <w:t>Participates in verbal exchanges with key personnel usin</w:t>
            </w:r>
            <w:r w:rsidRPr="00A00CE9">
              <w:t>g appropriate, clear and detailed language to exchange information, ideas or solutions</w:t>
            </w:r>
          </w:p>
        </w:tc>
      </w:tr>
      <w:tr w:rsidTr="00A00CE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ListBullet"/>
              <w:rPr>
                <w:lang w:val="en-NZ"/>
              </w:rPr>
            </w:pPr>
            <w:r w:rsidRPr="00A00CE9">
              <w:t>Performs mathematical calculations to check, interpret and confirm results of system tests</w:t>
            </w:r>
          </w:p>
        </w:tc>
      </w:tr>
      <w:tr w:rsidTr="00A00CE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ListBullet"/>
              <w:rPr>
                <w:lang w:val="en-NZ"/>
              </w:rPr>
            </w:pPr>
            <w:r w:rsidRPr="00A00CE9">
              <w:t>Complies with explicit policies and procedures</w:t>
            </w:r>
          </w:p>
        </w:tc>
      </w:tr>
      <w:tr w:rsidTr="00A00CE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ListBullet"/>
            </w:pPr>
            <w:r w:rsidRPr="00A00CE9">
              <w:t>Complies with work instructions and contributes to work group discussions using accepted conventions</w:t>
            </w:r>
          </w:p>
          <w:p w:rsidR="00000000" w:rsidP="00A00CE9">
            <w:pPr>
              <w:pStyle w:val="ListBullet"/>
              <w:rPr>
                <w:lang w:val="en-NZ"/>
              </w:rPr>
            </w:pPr>
            <w:r w:rsidRPr="00A00CE9">
              <w:t>Supervises other cablers in training</w:t>
            </w:r>
          </w:p>
        </w:tc>
      </w:tr>
      <w:tr w:rsidTr="00A00CE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ListBullet"/>
            </w:pPr>
            <w:r w:rsidRPr="00A00CE9">
              <w:t>Plans and implements routine</w:t>
            </w:r>
            <w:r w:rsidRPr="00A00CE9">
              <w:t xml:space="preserve"> tasks and workload, making limited decisions on sequencing, timing and collaboration, and seeks assistance in setting priorities</w:t>
            </w:r>
          </w:p>
          <w:p w:rsidR="00000000" w:rsidRPr="00A00CE9" w:rsidP="00A00CE9">
            <w:pPr>
              <w:pStyle w:val="ListBullet"/>
            </w:pPr>
            <w:r w:rsidRPr="00A00CE9">
              <w:t>Uses the main features and functions of digital tools to complete work tasks and access information</w:t>
            </w:r>
          </w:p>
        </w:tc>
      </w:tr>
    </w:tbl>
    <w:p w:rsidR="00000000" w:rsidRPr="00A00CE9" w:rsidP="00A00CE9">
      <w:pPr>
        <w:pStyle w:val="BodyText"/>
      </w:pPr>
    </w:p>
    <w:p w:rsidR="00000000" w:rsidRPr="00A00CE9" w:rsidP="00A00CE9">
      <w:pPr>
        <w:pStyle w:val="AllowPageBreak"/>
      </w:pPr>
    </w:p>
    <w:p w:rsidR="00000000" w:rsidRPr="00A00CE9" w:rsidP="00A00CE9">
      <w:pPr>
        <w:pStyle w:val="Heading1"/>
      </w:pPr>
      <w:bookmarkStart w:id="7" w:name="O_1039601"/>
      <w:bookmarkEnd w:id="7"/>
      <w:r w:rsidRPr="00A00CE9">
        <w:t>Range of Conditions</w:t>
      </w:r>
    </w:p>
    <w:p w:rsidR="00000000" w:rsidRPr="00673752" w:rsidP="00673752">
      <w:pPr>
        <w:pStyle w:val="BodyText"/>
        <w:rPr>
          <w:i/>
        </w:rPr>
      </w:pPr>
      <w:r w:rsidRPr="00673752">
        <w:rPr>
          <w:rStyle w:val="Emphasis"/>
        </w:rPr>
        <w:t>Specifies different work environments and conditions that may affect performance. Essential operating conditions that may be present (depending on the work situation, needs of the candidate, accessibility of the item, and local industry</w:t>
      </w:r>
      <w:r w:rsidRPr="00673752">
        <w:rPr>
          <w:rStyle w:val="Emphasis"/>
        </w:rPr>
        <w:t xml:space="preserve"> and regional contexts) are</w:t>
      </w:r>
      <w:r w:rsidRPr="00673752">
        <w:rPr>
          <w:i/>
        </w:rPr>
        <w:t xml:space="preserve"> </w:t>
      </w:r>
      <w:r w:rsidRPr="00673752">
        <w:rPr>
          <w:rStyle w:val="Emphasis"/>
        </w:rPr>
        <w:t>included. It is restricted to essential operating conditions and any other variables essential to the work environment.</w:t>
      </w:r>
    </w:p>
    <w:tbl>
      <w:tblPr>
        <w:tblW w:w="9568" w:type="dxa"/>
        <w:tblLayout w:type="fixed"/>
        <w:tblCellMar>
          <w:left w:w="62" w:type="dxa"/>
          <w:right w:w="62" w:type="dxa"/>
        </w:tblCellMar>
        <w:tblLook w:val="0000"/>
      </w:tblPr>
      <w:tblGrid>
        <w:gridCol w:w="2403"/>
        <w:gridCol w:w="7165"/>
      </w:tblGrid>
      <w:tr w:rsidTr="00A00CE9">
        <w:tblPrEx>
          <w:tblW w:w="9568" w:type="dxa"/>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Operating wavelengths must include:</w:t>
            </w:r>
          </w:p>
        </w:tc>
        <w:tc>
          <w:tcPr>
            <w:tcW w:w="7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ListBullet"/>
            </w:pPr>
            <w:r w:rsidRPr="00A00CE9">
              <w:t>1310 nm</w:t>
            </w:r>
          </w:p>
          <w:p w:rsidR="00000000" w:rsidRPr="00A00CE9" w:rsidP="00A00CE9">
            <w:pPr>
              <w:pStyle w:val="ListBullet"/>
            </w:pPr>
            <w:r w:rsidRPr="00A00CE9">
              <w:t>1490 nm</w:t>
            </w:r>
          </w:p>
          <w:p w:rsidR="00000000" w:rsidP="00A00CE9">
            <w:pPr>
              <w:pStyle w:val="ListBullet"/>
              <w:rPr>
                <w:lang w:val="en-NZ"/>
              </w:rPr>
            </w:pPr>
            <w:r w:rsidRPr="00A00CE9">
              <w:t>1550 nm.</w:t>
            </w:r>
          </w:p>
        </w:tc>
      </w:tr>
      <w:tr w:rsidTr="00A00CE9">
        <w:tblPrEx>
          <w:tblW w:w="9568" w:type="dxa"/>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Range of accepta</w:t>
            </w:r>
            <w:r w:rsidRPr="00A00CE9">
              <w:t>ble power levels must include:</w:t>
            </w:r>
          </w:p>
        </w:tc>
        <w:tc>
          <w:tcPr>
            <w:tcW w:w="7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ListBullet"/>
            </w:pPr>
            <w:r w:rsidRPr="00A00CE9">
              <w:t>-20 to + 2 dBm @ 1310 nm</w:t>
            </w:r>
          </w:p>
          <w:p w:rsidR="00000000" w:rsidRPr="00A00CE9" w:rsidP="00A00CE9">
            <w:pPr>
              <w:pStyle w:val="ListBullet"/>
            </w:pPr>
            <w:r w:rsidRPr="00A00CE9">
              <w:t>-26 to -6 dBm @ 1490 nm</w:t>
            </w:r>
          </w:p>
          <w:p w:rsidR="00000000" w:rsidP="00A00CE9">
            <w:pPr>
              <w:pStyle w:val="ListBullet"/>
              <w:rPr>
                <w:lang w:val="en-NZ"/>
              </w:rPr>
            </w:pPr>
            <w:r w:rsidRPr="00A00CE9">
              <w:t>-11.5 to +5 dBm @ 1550 nm.</w:t>
            </w:r>
          </w:p>
        </w:tc>
      </w:tr>
      <w:tr w:rsidTr="00A00CE9">
        <w:tblPrEx>
          <w:tblW w:w="9568" w:type="dxa"/>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Maximum and minimum power losses must include:</w:t>
            </w:r>
          </w:p>
        </w:tc>
        <w:tc>
          <w:tcPr>
            <w:tcW w:w="7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ListBullet"/>
            </w:pPr>
            <w:r w:rsidRPr="00A00CE9">
              <w:t>23.3 dB to 15.0 dB @1310 nm</w:t>
            </w:r>
          </w:p>
          <w:p w:rsidR="00000000" w:rsidRPr="00A00CE9" w:rsidP="00A00CE9">
            <w:pPr>
              <w:pStyle w:val="ListBullet"/>
            </w:pPr>
            <w:r w:rsidRPr="00A00CE9">
              <w:t>21.6 dB to 8.0 dB @1490 nm</w:t>
            </w:r>
          </w:p>
          <w:p w:rsidR="00000000" w:rsidP="00A00CE9">
            <w:pPr>
              <w:pStyle w:val="ListBullet"/>
              <w:rPr>
                <w:lang w:val="en-NZ"/>
              </w:rPr>
            </w:pPr>
            <w:r w:rsidRPr="00A00CE9">
              <w:t>20.9 dB to 9.5 dB @1550 nm.</w:t>
            </w:r>
          </w:p>
        </w:tc>
      </w:tr>
      <w:tr w:rsidTr="00A00CE9">
        <w:tblPrEx>
          <w:tblW w:w="9568" w:type="dxa"/>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Acceptance test</w:t>
            </w:r>
            <w:r w:rsidRPr="00A00CE9">
              <w:t>s must include:</w:t>
            </w:r>
          </w:p>
        </w:tc>
        <w:tc>
          <w:tcPr>
            <w:tcW w:w="7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ListBullet"/>
            </w:pPr>
            <w:r w:rsidRPr="00A00CE9">
              <w:t>delay</w:t>
            </w:r>
          </w:p>
          <w:p w:rsidR="00000000" w:rsidRPr="00A00CE9" w:rsidP="00A00CE9">
            <w:pPr>
              <w:pStyle w:val="ListBullet"/>
            </w:pPr>
            <w:r w:rsidRPr="00A00CE9">
              <w:t>dispersion</w:t>
            </w:r>
          </w:p>
          <w:p w:rsidR="00000000" w:rsidRPr="00A00CE9" w:rsidP="00A00CE9">
            <w:pPr>
              <w:pStyle w:val="ListBullet"/>
            </w:pPr>
            <w:r w:rsidRPr="00A00CE9">
              <w:t>optical attenuation and loss measurements</w:t>
            </w:r>
          </w:p>
          <w:p w:rsidR="00000000" w:rsidRPr="00A00CE9" w:rsidP="00A00CE9">
            <w:pPr>
              <w:pStyle w:val="ListBullet"/>
            </w:pPr>
            <w:r w:rsidRPr="00A00CE9">
              <w:t>optical power levels</w:t>
            </w:r>
          </w:p>
          <w:p w:rsidR="00000000" w:rsidRPr="00A00CE9" w:rsidP="00A00CE9">
            <w:pPr>
              <w:pStyle w:val="ListBullet"/>
            </w:pPr>
            <w:r w:rsidRPr="00A00CE9">
              <w:t>phase.</w:t>
            </w:r>
          </w:p>
        </w:tc>
      </w:tr>
    </w:tbl>
    <w:p w:rsidR="00000000" w:rsidRPr="00A00CE9" w:rsidP="00A00CE9">
      <w:pPr>
        <w:pStyle w:val="BodyText"/>
      </w:pPr>
    </w:p>
    <w:p w:rsidR="00000000" w:rsidRPr="00A00CE9" w:rsidP="00A00CE9">
      <w:pPr>
        <w:pStyle w:val="AllowPageBreak"/>
      </w:pPr>
    </w:p>
    <w:p w:rsidR="00000000" w:rsidRPr="00A00CE9" w:rsidP="00A00CE9">
      <w:pPr>
        <w:pStyle w:val="Heading1"/>
      </w:pPr>
      <w:bookmarkStart w:id="8" w:name="O_1039600"/>
      <w:bookmarkEnd w:id="8"/>
      <w:r w:rsidRPr="00A00CE9">
        <w:t>Unit Mapping Information</w:t>
      </w:r>
    </w:p>
    <w:p w:rsidR="00000000" w:rsidRPr="00A00CE9" w:rsidP="00673752">
      <w:pPr>
        <w:pStyle w:val="BodyText"/>
      </w:pPr>
      <w:r w:rsidRPr="00A00CE9">
        <w:t>No equivalent unit. Supersedes and is not equivalent to ICTBWN304 Work safely with live fibre to test the x installation.</w:t>
      </w:r>
    </w:p>
    <w:p w:rsidR="00000000" w:rsidRPr="00A00CE9" w:rsidP="00A00CE9">
      <w:pPr>
        <w:pStyle w:val="Heading1"/>
      </w:pPr>
      <w:bookmarkStart w:id="9" w:name="O_1039593"/>
      <w:bookmarkEnd w:id="9"/>
      <w:r w:rsidRPr="00A00CE9">
        <w:t>Links</w:t>
      </w:r>
    </w:p>
    <w:p w:rsidR="00000000" w:rsidRPr="00A00CE9" w:rsidP="00673752">
      <w:pPr>
        <w:pStyle w:val="BodyText"/>
      </w:pPr>
      <w:r w:rsidRPr="00A00CE9">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FF034E">
        <w:rPr>
          <w:rStyle w:val="Hyperlink"/>
        </w:rPr>
        <w:t>https://vetnet.gov.au/Pages/TrainingDocs.aspx?q=a53af4e4-b400-484e-b778-71c9e9d6aff2</w:t>
      </w:r>
      <w:r>
        <w:fldChar w:fldCharType="end"/>
      </w:r>
    </w:p>
    <w:p w:rsidR="00000000" w:rsidRPr="00A00CE9" w:rsidP="00673752">
      <w:pPr>
        <w:pStyle w:val="BodyText"/>
        <w:sectPr w:rsidSect="00A00CE9">
          <w:headerReference w:type="default" r:id="rId10"/>
          <w:footerReference w:type="default" r:id="rId11"/>
          <w:pgSz w:w="11908" w:h="16833"/>
          <w:pgMar w:top="1702" w:right="1418" w:bottom="1702" w:left="1418" w:header="992" w:footer="992" w:gutter="0"/>
          <w:cols w:space="720"/>
          <w:noEndnote/>
          <w:docGrid w:linePitch="299"/>
        </w:sectPr>
      </w:pPr>
    </w:p>
    <w:p w:rsidR="00000000" w:rsidRPr="00A00CE9" w:rsidP="00A00CE9">
      <w:pPr>
        <w:pStyle w:val="SuperHeading"/>
      </w:pPr>
      <w:r w:rsidRPr="00A00CE9">
        <w:t>Assessment Requirements for ICTBWN308 Work safely on live optical fibre installations</w:t>
      </w:r>
    </w:p>
    <w:p w:rsidR="00000000" w:rsidRPr="00A00CE9" w:rsidP="00A00CE9">
      <w:pPr>
        <w:pStyle w:val="Heading1"/>
      </w:pPr>
      <w:bookmarkStart w:id="10" w:name="O_1039595"/>
      <w:bookmarkEnd w:id="10"/>
      <w:r w:rsidRPr="00A00CE9">
        <w:t>Modification History</w:t>
      </w:r>
    </w:p>
    <w:tbl>
      <w:tblPr>
        <w:tblW w:w="9522" w:type="dxa"/>
        <w:tblLayout w:type="fixed"/>
        <w:tblCellMar>
          <w:left w:w="62" w:type="dxa"/>
          <w:right w:w="62" w:type="dxa"/>
        </w:tblCellMar>
        <w:tblLook w:val="0000"/>
      </w:tblPr>
      <w:tblGrid>
        <w:gridCol w:w="1785"/>
        <w:gridCol w:w="7737"/>
      </w:tblGrid>
      <w:tr w:rsidTr="00A00CE9">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BodyText"/>
            </w:pPr>
            <w:r w:rsidRPr="00A00CE9">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rPr>
                <w:rStyle w:val="SpecialBold"/>
              </w:rPr>
              <w:t>Comments</w:t>
            </w:r>
          </w:p>
        </w:tc>
      </w:tr>
      <w:tr w:rsidTr="00A00CE9">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CE9">
            <w:pPr>
              <w:pStyle w:val="BodyText"/>
              <w:rPr>
                <w:lang w:val="en-NZ"/>
              </w:rPr>
            </w:pPr>
            <w:r w:rsidRPr="00A00CE9">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CE9" w:rsidP="00A00CE9">
            <w:pPr>
              <w:pStyle w:val="BodyText"/>
            </w:pPr>
            <w:r w:rsidRPr="00A00CE9">
              <w:t>This version released with ICT Information and Communications Technology Training Package Release 5.0.</w:t>
            </w:r>
          </w:p>
        </w:tc>
      </w:tr>
    </w:tbl>
    <w:p w:rsidR="00000000" w:rsidRPr="00A00CE9" w:rsidP="00A00CE9">
      <w:pPr>
        <w:pStyle w:val="BodyText"/>
      </w:pPr>
    </w:p>
    <w:p w:rsidR="00000000" w:rsidRPr="00A00CE9" w:rsidP="00A00CE9">
      <w:pPr>
        <w:pStyle w:val="AllowPageBreak"/>
      </w:pPr>
    </w:p>
    <w:p w:rsidR="00000000" w:rsidRPr="00A00CE9" w:rsidP="00A00CE9">
      <w:pPr>
        <w:pStyle w:val="Heading1"/>
      </w:pPr>
      <w:bookmarkStart w:id="11" w:name="O_1039598"/>
      <w:bookmarkEnd w:id="11"/>
      <w:r w:rsidRPr="00A00CE9">
        <w:t>Performance Evidence</w:t>
      </w:r>
    </w:p>
    <w:p w:rsidR="00000000" w:rsidRPr="00A00CE9" w:rsidP="00673752">
      <w:pPr>
        <w:pStyle w:val="BodyText"/>
      </w:pPr>
      <w:r w:rsidRPr="00A00CE9">
        <w:t xml:space="preserve">The candidate must demonstrate the ability to perform the tasks outlined in the elements, performance criteria </w:t>
      </w:r>
      <w:r w:rsidRPr="00A00CE9">
        <w:t>and foundations skills, and to:</w:t>
      </w:r>
    </w:p>
    <w:p w:rsidR="00000000" w:rsidRPr="00A00CE9" w:rsidP="00A00CE9">
      <w:pPr>
        <w:pStyle w:val="ListBullet"/>
      </w:pPr>
      <w:r w:rsidRPr="00A00CE9">
        <w:t>comply with all job requirements and work health and safety (WHS) regulations, standards and work practices, and environmental requirements</w:t>
      </w:r>
    </w:p>
    <w:p w:rsidR="00000000" w:rsidRPr="00A00CE9" w:rsidP="00A00CE9">
      <w:pPr>
        <w:pStyle w:val="ListBullet"/>
      </w:pPr>
      <w:r w:rsidRPr="00A00CE9">
        <w:t>use optical power test equipment</w:t>
      </w:r>
    </w:p>
    <w:p w:rsidR="00000000" w:rsidRPr="00A00CE9" w:rsidP="00A00CE9">
      <w:pPr>
        <w:pStyle w:val="ListBullet"/>
      </w:pPr>
      <w:r w:rsidRPr="00A00CE9">
        <w:t>evaluate test results</w:t>
      </w:r>
    </w:p>
    <w:p w:rsidR="00000000" w:rsidRPr="00A00CE9" w:rsidP="00A00CE9">
      <w:pPr>
        <w:pStyle w:val="ListBullet"/>
      </w:pPr>
      <w:r w:rsidRPr="00A00CE9">
        <w:t>safely connect input and output optical fibres to the splitter</w:t>
      </w:r>
    </w:p>
    <w:p w:rsidR="00000000" w:rsidRPr="00A00CE9" w:rsidP="00A00CE9">
      <w:pPr>
        <w:pStyle w:val="ListBullet"/>
      </w:pPr>
      <w:r w:rsidRPr="00A00CE9">
        <w:t>conduct live tests measuring optical signals at three wavelength division multiplexing (WDM) wavelengths on optical devices</w:t>
      </w:r>
    </w:p>
    <w:p w:rsidR="00000000" w:rsidRPr="00A00CE9" w:rsidP="00A00CE9">
      <w:pPr>
        <w:pStyle w:val="ListBullet"/>
      </w:pPr>
      <w:r w:rsidRPr="00A00CE9">
        <w:t>conduct acceptance tests for commissioning that cover:</w:t>
      </w:r>
    </w:p>
    <w:p w:rsidR="00000000" w:rsidRPr="00A00CE9" w:rsidP="00A00CE9">
      <w:pPr>
        <w:pStyle w:val="ListBullet2"/>
      </w:pPr>
      <w:r w:rsidRPr="00A00CE9">
        <w:t>delay</w:t>
      </w:r>
    </w:p>
    <w:p w:rsidR="00000000" w:rsidRPr="00A00CE9" w:rsidP="00A00CE9">
      <w:pPr>
        <w:pStyle w:val="ListBullet2"/>
      </w:pPr>
      <w:r w:rsidRPr="00A00CE9">
        <w:t>dispers</w:t>
      </w:r>
      <w:r w:rsidRPr="00A00CE9">
        <w:t>ion</w:t>
      </w:r>
    </w:p>
    <w:p w:rsidR="00000000" w:rsidRPr="00A00CE9" w:rsidP="00A00CE9">
      <w:pPr>
        <w:pStyle w:val="ListBullet2"/>
      </w:pPr>
      <w:r w:rsidRPr="00A00CE9">
        <w:t>optical attenuation and loss measurements</w:t>
      </w:r>
    </w:p>
    <w:p w:rsidR="00000000" w:rsidRPr="00A00CE9" w:rsidP="00A00CE9">
      <w:pPr>
        <w:pStyle w:val="ListBullet2"/>
      </w:pPr>
      <w:r w:rsidRPr="00A00CE9">
        <w:t>optical power levels</w:t>
      </w:r>
    </w:p>
    <w:p w:rsidR="00000000" w:rsidRPr="00A00CE9" w:rsidP="00A00CE9">
      <w:pPr>
        <w:pStyle w:val="ListBullet2"/>
      </w:pPr>
      <w:r w:rsidRPr="00A00CE9">
        <w:t>phase</w:t>
      </w:r>
    </w:p>
    <w:p w:rsidR="00000000" w:rsidRPr="00A00CE9" w:rsidP="00A00CE9">
      <w:pPr>
        <w:pStyle w:val="ListBullet"/>
      </w:pPr>
      <w:r w:rsidRPr="00A00CE9">
        <w:t>complete connection recording.</w:t>
      </w:r>
    </w:p>
    <w:p w:rsidR="00000000" w:rsidRPr="00A00CE9" w:rsidP="00A00CE9">
      <w:pPr>
        <w:pStyle w:val="BodyText"/>
      </w:pPr>
    </w:p>
    <w:p w:rsidR="00000000" w:rsidRPr="00A00CE9" w:rsidP="00673752">
      <w:pPr>
        <w:pStyle w:val="BodyText"/>
      </w:pPr>
      <w:r w:rsidRPr="00A00CE9">
        <w:t xml:space="preserve">Note: Evidence must be provided at least once when a specific volume or frequency is not stated. </w:t>
      </w:r>
    </w:p>
    <w:p w:rsidR="00000000" w:rsidRPr="00A00CE9" w:rsidP="00A00CE9">
      <w:pPr>
        <w:pStyle w:val="Heading1"/>
      </w:pPr>
      <w:bookmarkStart w:id="12" w:name="O_1039597"/>
      <w:bookmarkEnd w:id="12"/>
      <w:r w:rsidRPr="00A00CE9">
        <w:t>Knowledge Evidence</w:t>
      </w:r>
    </w:p>
    <w:p w:rsidR="00000000" w:rsidRPr="00A00CE9" w:rsidP="00673752">
      <w:pPr>
        <w:pStyle w:val="BodyText"/>
      </w:pPr>
      <w:r w:rsidRPr="00A00CE9">
        <w:t>The cand</w:t>
      </w:r>
      <w:r w:rsidRPr="00A00CE9">
        <w:t>idate must demonstrate the knowledge required to perform the tasks outlined in the elements, performance criteria, and foundation skills, which includes knowledge about:</w:t>
      </w:r>
    </w:p>
    <w:p w:rsidR="00000000" w:rsidRPr="00A00CE9" w:rsidP="00A00CE9">
      <w:pPr>
        <w:pStyle w:val="ListBullet"/>
      </w:pPr>
      <w:r w:rsidRPr="00A00CE9">
        <w:t>legislation, regulations, codes and standards for compliance that impact on work acti</w:t>
      </w:r>
      <w:r w:rsidRPr="00A00CE9">
        <w:t xml:space="preserve">vities </w:t>
      </w:r>
    </w:p>
    <w:p w:rsidR="00000000" w:rsidRPr="00A00CE9" w:rsidP="00A00CE9">
      <w:pPr>
        <w:pStyle w:val="ListBullet"/>
      </w:pPr>
      <w:r w:rsidRPr="00A00CE9">
        <w:t>relevant organisational policies and procedures</w:t>
      </w:r>
    </w:p>
    <w:p w:rsidR="00000000" w:rsidRPr="00A00CE9" w:rsidP="00A00CE9">
      <w:pPr>
        <w:pStyle w:val="ListBullet"/>
      </w:pPr>
      <w:r w:rsidRPr="00A00CE9">
        <w:t>personal safety issues</w:t>
      </w:r>
    </w:p>
    <w:p w:rsidR="00000000" w:rsidRPr="00A00CE9" w:rsidP="00A00CE9">
      <w:pPr>
        <w:pStyle w:val="ListBullet"/>
      </w:pPr>
      <w:r w:rsidRPr="00A00CE9">
        <w:t>propagation of light in optical communication systems</w:t>
      </w:r>
    </w:p>
    <w:p w:rsidR="00000000" w:rsidRPr="00A00CE9" w:rsidP="00A00CE9">
      <w:pPr>
        <w:pStyle w:val="ListBullet"/>
      </w:pPr>
      <w:r w:rsidRPr="00A00CE9">
        <w:t>role of transmitters and receivers in optical communication systems</w:t>
      </w:r>
    </w:p>
    <w:p w:rsidR="00000000" w:rsidRPr="00A00CE9" w:rsidP="00A00CE9">
      <w:pPr>
        <w:pStyle w:val="ListBullet"/>
      </w:pPr>
      <w:r w:rsidRPr="00A00CE9">
        <w:t>critical aspects of site engineering</w:t>
      </w:r>
    </w:p>
    <w:p w:rsidR="00000000" w:rsidRPr="00A00CE9" w:rsidP="00A00CE9">
      <w:pPr>
        <w:pStyle w:val="ListBullet"/>
      </w:pPr>
      <w:r w:rsidRPr="00A00CE9">
        <w:t>specific WHS risks</w:t>
      </w:r>
      <w:r w:rsidRPr="00A00CE9">
        <w:t xml:space="preserve"> and controls relating to the handling of optical fibre and the use of laser light sources</w:t>
      </w:r>
    </w:p>
    <w:p w:rsidR="00000000" w:rsidRPr="00A00CE9" w:rsidP="00A00CE9">
      <w:pPr>
        <w:pStyle w:val="ListBullet"/>
      </w:pPr>
      <w:r w:rsidRPr="00A00CE9">
        <w:t>WDM applications.</w:t>
      </w:r>
    </w:p>
    <w:p w:rsidR="00000000" w:rsidRPr="00A00CE9" w:rsidP="00A00CE9">
      <w:pPr>
        <w:pStyle w:val="AllowPageBreak"/>
      </w:pPr>
    </w:p>
    <w:p w:rsidR="00000000" w:rsidRPr="00A00CE9" w:rsidP="00A00CE9">
      <w:pPr>
        <w:pStyle w:val="Heading1"/>
      </w:pPr>
      <w:bookmarkStart w:id="13" w:name="O_1039596"/>
      <w:bookmarkEnd w:id="13"/>
      <w:r w:rsidRPr="00A00CE9">
        <w:t>Assessment Conditions</w:t>
      </w:r>
    </w:p>
    <w:p w:rsidR="00000000" w:rsidRPr="00A00CE9" w:rsidP="00673752">
      <w:pPr>
        <w:pStyle w:val="BodyText"/>
      </w:pPr>
      <w:r w:rsidRPr="00A00CE9">
        <w:t>This unit of competency falls into the definition of high risk work and should be delivered and assessed i</w:t>
      </w:r>
      <w:r w:rsidRPr="00A00CE9">
        <w:t>n accordance with the national standard.</w:t>
      </w:r>
    </w:p>
    <w:p w:rsidR="00000000" w:rsidRPr="00A00CE9" w:rsidP="00673752">
      <w:pPr>
        <w:pStyle w:val="BodyText"/>
      </w:pPr>
      <w:r w:rsidRPr="00A00CE9">
        <w:t>Skills must be assessed in a workplace or simulated environment where conditions are typical of those in a telecommunications work environment or workplace.</w:t>
      </w:r>
    </w:p>
    <w:p w:rsidR="00000000" w:rsidRPr="00A00CE9" w:rsidP="00673752">
      <w:pPr>
        <w:pStyle w:val="BodyText"/>
      </w:pPr>
      <w:r w:rsidRPr="00A00CE9">
        <w:t>Access is required to:</w:t>
      </w:r>
    </w:p>
    <w:p w:rsidR="00000000" w:rsidRPr="00A00CE9" w:rsidP="00A00CE9">
      <w:pPr>
        <w:pStyle w:val="ListBullet"/>
      </w:pPr>
      <w:r w:rsidRPr="00A00CE9">
        <w:t xml:space="preserve">a WDM system and relevant optical </w:t>
      </w:r>
      <w:r w:rsidRPr="00A00CE9">
        <w:t>splitter</w:t>
      </w:r>
    </w:p>
    <w:p w:rsidR="00000000" w:rsidRPr="00A00CE9" w:rsidP="00A00CE9">
      <w:pPr>
        <w:pStyle w:val="ListBullet"/>
      </w:pPr>
      <w:r w:rsidRPr="00A00CE9">
        <w:t>tools, equipment and personal protective equipment currently used in industry</w:t>
      </w:r>
    </w:p>
    <w:p w:rsidR="00000000" w:rsidRPr="00A00CE9" w:rsidP="00A00CE9">
      <w:pPr>
        <w:pStyle w:val="ListBullet"/>
      </w:pPr>
      <w:r w:rsidRPr="00A00CE9">
        <w:t>relevant regulatory and equipment documentation that impacts on work activities.</w:t>
      </w:r>
    </w:p>
    <w:p w:rsidR="00000000" w:rsidRPr="00A00CE9" w:rsidP="00A00CE9">
      <w:pPr>
        <w:pStyle w:val="BodyText"/>
      </w:pPr>
    </w:p>
    <w:p w:rsidR="00000000" w:rsidRPr="00A00CE9" w:rsidP="00673752">
      <w:pPr>
        <w:pStyle w:val="BodyText"/>
      </w:pPr>
      <w:r w:rsidRPr="00A00CE9">
        <w:t xml:space="preserve">Assessors of this unit must satisfy the requirements for assessors in applicable vocational education and training legislation, frameworks and/or standards. Refer also to the </w:t>
      </w:r>
      <w:r w:rsidRPr="00A00CE9">
        <w:rPr>
          <w:rStyle w:val="Emphasis"/>
        </w:rPr>
        <w:t>Requirements for assessors</w:t>
      </w:r>
      <w:r w:rsidRPr="00A00CE9">
        <w:t xml:space="preserve"> of high risk units in the ICT Information and Communic</w:t>
      </w:r>
      <w:r w:rsidRPr="00A00CE9">
        <w:t>ations Technology Training Package Companion Volume Implementation Guide.</w:t>
      </w:r>
    </w:p>
    <w:p w:rsidR="00000000" w:rsidRPr="00A00CE9" w:rsidP="00A00CE9">
      <w:pPr>
        <w:pStyle w:val="Heading1"/>
      </w:pPr>
      <w:bookmarkStart w:id="14" w:name="O_1039594"/>
      <w:bookmarkEnd w:id="14"/>
      <w:r w:rsidRPr="00A00CE9">
        <w:t>Links</w:t>
      </w:r>
    </w:p>
    <w:p w:rsidR="00000000" w:rsidRPr="00A00CE9" w:rsidP="00673752">
      <w:pPr>
        <w:pStyle w:val="BodyText"/>
      </w:pPr>
      <w:r w:rsidRPr="00A00CE9">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FF034E">
        <w:rPr>
          <w:rStyle w:val="Hyperlink"/>
        </w:rPr>
        <w:t>https://vetnet.gov.au/Pages/TrainingDocs.aspx?q=a53af4e4-b400-484e-b778-71c9e9d6aff2</w:t>
      </w:r>
      <w:r>
        <w:fldChar w:fldCharType="end"/>
      </w:r>
    </w:p>
    <w:p w:rsidR="00000000" w:rsidRPr="00A00CE9" w:rsidP="00A00CE9"/>
    <w:sectPr w:rsidSect="00A00C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E9" w:rsidRPr="00673752" w:rsidP="00673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52" w:rsidP="00A00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3752" w:rsidP="00A00C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73752" w:rsidP="00A00C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E9" w:rsidP="00A00CE9">
    <w:pPr>
      <w:pStyle w:val="Footer"/>
      <w:framePr w:wrap="around"/>
    </w:pPr>
    <w:r>
      <w:fldChar w:fldCharType="begin"/>
    </w:r>
    <w:r>
      <w:instrText xml:space="preserve"> DOCPROPERTY  Subject  \* MERGEFORMAT </w:instrText>
    </w:r>
    <w:r>
      <w:fldChar w:fldCharType="separate"/>
    </w:r>
    <w:r w:rsidR="00673752">
      <w:t>Approved</w:t>
    </w:r>
    <w:r w:rsidR="00673752">
      <w:fldChar w:fldCharType="end"/>
    </w:r>
    <w:r>
      <w:tab/>
      <w:t xml:space="preserve">Page </w:t>
    </w:r>
    <w:r>
      <w:fldChar w:fldCharType="begin"/>
    </w:r>
    <w:r>
      <w:instrText xml:space="preserve"> PAGE  \* Arabic  \* MERGEFORMAT </w:instrText>
    </w:r>
    <w:r>
      <w:fldChar w:fldCharType="separate"/>
    </w:r>
    <w:r w:rsidR="006737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3752">
      <w:rPr>
        <w:noProof/>
      </w:rPr>
      <w:t>5</w:t>
    </w:r>
    <w:r>
      <w:rPr>
        <w:noProof/>
      </w:rPr>
      <w:fldChar w:fldCharType="end"/>
    </w:r>
  </w:p>
  <w:p w:rsidR="00A00CE9" w:rsidP="00A00CE9">
    <w:pPr>
      <w:pStyle w:val="Footer"/>
      <w:framePr w:wrap="around"/>
    </w:pPr>
    <w:r>
      <w:t xml:space="preserve">© Commonwealth of Australia, </w:t>
    </w:r>
    <w:r>
      <w:fldChar w:fldCharType="begin"/>
    </w:r>
    <w:r>
      <w:instrText xml:space="preserve"> DATE  \@ "yyyy"  \* MERGEFORMAT </w:instrText>
    </w:r>
    <w:r>
      <w:fldChar w:fldCharType="separate"/>
    </w:r>
    <w:r w:rsidR="00673752">
      <w:rPr>
        <w:noProof/>
      </w:rPr>
      <w:t>2025</w:t>
    </w:r>
    <w:r>
      <w:fldChar w:fldCharType="end"/>
    </w:r>
    <w:r>
      <w:tab/>
    </w:r>
    <w:r>
      <w:fldChar w:fldCharType="begin"/>
    </w:r>
    <w:r>
      <w:instrText xml:space="preserve"> DOCPROPERTY  Author  \* MERGEFORMAT </w:instrText>
    </w:r>
    <w:r>
      <w:fldChar w:fldCharType="separate"/>
    </w:r>
    <w:r w:rsidR="00673752">
      <w:t>Future Skills Organisation</w:t>
    </w:r>
    <w:r w:rsidR="00673752">
      <w:fldChar w:fldCharType="end"/>
    </w:r>
  </w:p>
  <w:p w:rsidR="00A00CE9" w:rsidP="00A00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CE9" w:rsidRPr="00673752" w:rsidP="006737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52" w:rsidRPr="002D2AF8" w:rsidP="00A00CE9">
    <w:pPr>
      <w:pStyle w:val="Header"/>
      <w:framePr w:wrap="around"/>
    </w:pPr>
    <w:r>
      <w:fldChar w:fldCharType="begin"/>
    </w:r>
    <w:r>
      <w:instrText xml:space="preserve"> TITLE   \* MERGEFORMAT </w:instrText>
    </w:r>
    <w:r>
      <w:fldChar w:fldCharType="separate"/>
    </w:r>
    <w:r>
      <w:t>ICTBWN308 Work safely on live optical fibre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3752" w:rsidP="00A00C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E9" w:rsidRPr="002D2AF8" w:rsidP="00A00CE9">
    <w:pPr>
      <w:pStyle w:val="Header"/>
      <w:framePr w:wrap="around"/>
    </w:pPr>
    <w:r>
      <w:fldChar w:fldCharType="begin"/>
    </w:r>
    <w:r>
      <w:instrText xml:space="preserve"> TITLE   \* MERGEFORMAT </w:instrText>
    </w:r>
    <w:r>
      <w:fldChar w:fldCharType="separate"/>
    </w:r>
    <w:r w:rsidR="00673752">
      <w:t>ICTBWN308 Work safely on live optical fibre installations</w:t>
    </w:r>
    <w:r w:rsidR="00673752">
      <w:fldChar w:fldCharType="end"/>
    </w:r>
    <w:r>
      <w:tab/>
      <w:t xml:space="preserve">Date this document was generated: </w:t>
    </w:r>
    <w:r>
      <w:fldChar w:fldCharType="begin"/>
    </w:r>
    <w:r>
      <w:instrText xml:space="preserve"> CREATEDATE  \@ "d MMMM yyyy"  \* MERGEFORMAT </w:instrText>
    </w:r>
    <w:r>
      <w:fldChar w:fldCharType="separate"/>
    </w:r>
    <w:r w:rsidR="00673752">
      <w:rPr>
        <w:noProof/>
      </w:rPr>
      <w:t>1 March 2025</w:t>
    </w:r>
    <w:r>
      <w:fldChar w:fldCharType="end"/>
    </w:r>
  </w:p>
  <w:p w:rsidR="00A00CE9" w:rsidP="00A00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82D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AE7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FA5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CE9"/>
    <w:pPr>
      <w:spacing w:before="360" w:after="60"/>
      <w:outlineLvl w:val="0"/>
    </w:pPr>
    <w:rPr>
      <w:sz w:val="32"/>
    </w:rPr>
  </w:style>
  <w:style w:type="paragraph" w:styleId="Heading2">
    <w:name w:val="heading 2"/>
    <w:basedOn w:val="HeadingBase"/>
    <w:next w:val="BodyText"/>
    <w:link w:val="Heading2Char"/>
    <w:qFormat/>
    <w:rsid w:val="00A00CE9"/>
    <w:pPr>
      <w:keepLines/>
      <w:spacing w:before="240" w:after="120"/>
      <w:outlineLvl w:val="1"/>
    </w:pPr>
    <w:rPr>
      <w:sz w:val="28"/>
      <w:szCs w:val="40"/>
    </w:rPr>
  </w:style>
  <w:style w:type="paragraph" w:styleId="Heading3">
    <w:name w:val="heading 3"/>
    <w:basedOn w:val="HeadingBase"/>
    <w:next w:val="BodyText"/>
    <w:link w:val="Heading3Char"/>
    <w:qFormat/>
    <w:rsid w:val="00A00CE9"/>
    <w:pPr>
      <w:spacing w:before="180" w:after="120"/>
      <w:outlineLvl w:val="2"/>
    </w:pPr>
    <w:rPr>
      <w:spacing w:val="-10"/>
      <w:kern w:val="32"/>
    </w:rPr>
  </w:style>
  <w:style w:type="paragraph" w:styleId="Heading4">
    <w:name w:val="heading 4"/>
    <w:basedOn w:val="HeadingBase"/>
    <w:next w:val="BodyText"/>
    <w:link w:val="Heading4Char"/>
    <w:qFormat/>
    <w:rsid w:val="00A00CE9"/>
    <w:pPr>
      <w:spacing w:before="160" w:after="120"/>
      <w:outlineLvl w:val="3"/>
    </w:pPr>
    <w:rPr>
      <w:sz w:val="22"/>
    </w:rPr>
  </w:style>
  <w:style w:type="paragraph" w:styleId="Heading5">
    <w:name w:val="heading 5"/>
    <w:basedOn w:val="HeadingBase"/>
    <w:next w:val="Normal"/>
    <w:link w:val="Heading5Char"/>
    <w:qFormat/>
    <w:rsid w:val="00A00CE9"/>
    <w:pPr>
      <w:spacing w:before="80"/>
      <w:outlineLvl w:val="4"/>
    </w:pPr>
    <w:rPr>
      <w:color w:val="918585"/>
      <w:sz w:val="20"/>
    </w:rPr>
  </w:style>
  <w:style w:type="paragraph" w:styleId="Heading6">
    <w:name w:val="heading 6"/>
    <w:basedOn w:val="HeadingBase"/>
    <w:next w:val="Normal"/>
    <w:link w:val="Heading6Char"/>
    <w:qFormat/>
    <w:rsid w:val="00A00CE9"/>
    <w:pPr>
      <w:spacing w:before="60"/>
      <w:outlineLvl w:val="5"/>
    </w:pPr>
    <w:rPr>
      <w:color w:val="918585"/>
      <w:sz w:val="20"/>
    </w:rPr>
  </w:style>
  <w:style w:type="paragraph" w:styleId="Heading7">
    <w:name w:val="heading 7"/>
    <w:basedOn w:val="Normal"/>
    <w:next w:val="Normal"/>
    <w:link w:val="Heading7Char"/>
    <w:qFormat/>
    <w:rsid w:val="00A00CE9"/>
    <w:pPr>
      <w:ind w:left="720"/>
      <w:outlineLvl w:val="6"/>
    </w:pPr>
    <w:rPr>
      <w:i/>
    </w:rPr>
  </w:style>
  <w:style w:type="paragraph" w:styleId="Heading8">
    <w:name w:val="heading 8"/>
    <w:basedOn w:val="Normal"/>
    <w:next w:val="Normal"/>
    <w:link w:val="Heading8Char"/>
    <w:qFormat/>
    <w:rsid w:val="00A00CE9"/>
    <w:pPr>
      <w:ind w:left="720"/>
      <w:outlineLvl w:val="7"/>
    </w:pPr>
    <w:rPr>
      <w:i/>
    </w:rPr>
  </w:style>
  <w:style w:type="paragraph" w:styleId="Heading9">
    <w:name w:val="heading 9"/>
    <w:basedOn w:val="Normal"/>
    <w:next w:val="Normal"/>
    <w:link w:val="Heading9Char"/>
    <w:qFormat/>
    <w:rsid w:val="00A00CE9"/>
    <w:pPr>
      <w:ind w:left="720"/>
      <w:outlineLvl w:val="8"/>
    </w:pPr>
    <w:rPr>
      <w:i/>
    </w:rPr>
  </w:style>
  <w:style w:type="character" w:default="1" w:styleId="DefaultParagraphFont">
    <w:name w:val="Default Paragraph Font"/>
    <w:uiPriority w:val="1"/>
    <w:unhideWhenUsed/>
    <w:rsid w:val="00A00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CE9"/>
  </w:style>
  <w:style w:type="character" w:customStyle="1" w:styleId="Heading1Char">
    <w:name w:val="Heading 1 Char"/>
    <w:basedOn w:val="DefaultParagraphFont"/>
    <w:link w:val="Heading1"/>
    <w:rsid w:val="00A00CE9"/>
    <w:rPr>
      <w:rFonts w:ascii="Times New Roman" w:eastAsia="Times New Roman" w:hAnsi="Times New Roman" w:cs="Times New Roman"/>
      <w:b/>
      <w:sz w:val="32"/>
      <w:szCs w:val="20"/>
      <w:lang w:eastAsia="en-US"/>
    </w:rPr>
  </w:style>
  <w:style w:type="paragraph" w:styleId="BodyText">
    <w:name w:val="Body Text"/>
    <w:basedOn w:val="Normal"/>
    <w:link w:val="BodyTextChar"/>
    <w:rsid w:val="00A00C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CE9"/>
    <w:rPr>
      <w:rFonts w:ascii="Times New Roman" w:eastAsia="Times New Roman" w:hAnsi="Times New Roman" w:cs="Times New Roman"/>
      <w:sz w:val="24"/>
      <w:lang w:eastAsia="en-US"/>
    </w:rPr>
  </w:style>
  <w:style w:type="paragraph" w:styleId="ListBullet">
    <w:name w:val="List Bullet"/>
    <w:basedOn w:val="List"/>
    <w:rsid w:val="00A00CE9"/>
    <w:pPr>
      <w:numPr>
        <w:numId w:val="12"/>
      </w:numPr>
      <w:tabs>
        <w:tab w:val="clear" w:pos="340"/>
      </w:tabs>
      <w:spacing w:before="40" w:after="40"/>
    </w:pPr>
  </w:style>
  <w:style w:type="character" w:customStyle="1" w:styleId="SpecialBold">
    <w:name w:val="Special Bold"/>
    <w:basedOn w:val="DefaultParagraphFont"/>
    <w:rsid w:val="00A00CE9"/>
    <w:rPr>
      <w:b/>
      <w:spacing w:val="0"/>
    </w:rPr>
  </w:style>
  <w:style w:type="paragraph" w:styleId="ListBullet2">
    <w:name w:val="List Bullet 2"/>
    <w:basedOn w:val="List2"/>
    <w:rsid w:val="00A00CE9"/>
    <w:pPr>
      <w:numPr>
        <w:numId w:val="13"/>
      </w:numPr>
      <w:tabs>
        <w:tab w:val="clear" w:pos="680"/>
      </w:tabs>
    </w:pPr>
  </w:style>
  <w:style w:type="character" w:styleId="Emphasis">
    <w:name w:val="Emphasis"/>
    <w:basedOn w:val="DefaultParagraphFont"/>
    <w:qFormat/>
    <w:rsid w:val="00A00CE9"/>
    <w:rPr>
      <w:i/>
    </w:rPr>
  </w:style>
  <w:style w:type="paragraph" w:customStyle="1" w:styleId="SuperHeading">
    <w:name w:val="SuperHeading"/>
    <w:basedOn w:val="Normal"/>
    <w:rsid w:val="00A00CE9"/>
    <w:pPr>
      <w:spacing w:before="240" w:after="120"/>
      <w:outlineLvl w:val="0"/>
    </w:pPr>
    <w:rPr>
      <w:rFonts w:ascii="Times New Roman" w:hAnsi="Times New Roman"/>
      <w:b/>
      <w:sz w:val="32"/>
    </w:rPr>
  </w:style>
  <w:style w:type="paragraph" w:customStyle="1" w:styleId="AllowPageBreak">
    <w:name w:val="AllowPageBreak"/>
    <w:rsid w:val="00A00C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CE9"/>
    <w:rPr>
      <w:rFonts w:ascii="Courier New" w:eastAsia="Times New Roman" w:hAnsi="Courier New" w:cs="Times New Roman"/>
      <w:i/>
      <w:szCs w:val="20"/>
      <w:lang w:eastAsia="en-US"/>
    </w:rPr>
  </w:style>
  <w:style w:type="paragraph" w:customStyle="1" w:styleId="HeadingBase">
    <w:name w:val="Heading Base"/>
    <w:rsid w:val="00A00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CE9"/>
    <w:pPr>
      <w:tabs>
        <w:tab w:val="right" w:leader="dot" w:pos="9072"/>
      </w:tabs>
      <w:ind w:left="567"/>
    </w:pPr>
    <w:rPr>
      <w:szCs w:val="22"/>
    </w:rPr>
  </w:style>
  <w:style w:type="paragraph" w:customStyle="1" w:styleId="TOCBase">
    <w:name w:val="TOC Base"/>
    <w:rsid w:val="00A00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CE9"/>
    <w:pPr>
      <w:tabs>
        <w:tab w:val="right" w:leader="dot" w:pos="9072"/>
      </w:tabs>
      <w:spacing w:before="40" w:after="40"/>
      <w:ind w:left="284"/>
    </w:pPr>
    <w:rPr>
      <w:rFonts w:ascii="Times New Roman" w:hAnsi="Times New Roman"/>
    </w:rPr>
  </w:style>
  <w:style w:type="paragraph" w:styleId="TOC1">
    <w:name w:val="toc 1"/>
    <w:basedOn w:val="TOCBase"/>
    <w:next w:val="Normal"/>
    <w:rsid w:val="00A00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CE9"/>
    <w:rPr>
      <w:rFonts w:ascii="Times New Roman" w:eastAsia="Times New Roman" w:hAnsi="Times New Roman" w:cs="Times New Roman"/>
      <w:sz w:val="16"/>
      <w:lang w:eastAsia="en-US"/>
    </w:rPr>
  </w:style>
  <w:style w:type="paragraph" w:styleId="Title">
    <w:name w:val="Title"/>
    <w:basedOn w:val="HeadingBase"/>
    <w:link w:val="TitleChar"/>
    <w:qFormat/>
    <w:rsid w:val="00A00CE9"/>
    <w:pPr>
      <w:spacing w:before="5040"/>
      <w:jc w:val="center"/>
    </w:pPr>
    <w:rPr>
      <w:sz w:val="48"/>
      <w:szCs w:val="72"/>
      <w:lang w:val="en-US"/>
    </w:rPr>
  </w:style>
  <w:style w:type="character" w:customStyle="1" w:styleId="TitleChar">
    <w:name w:val="Title Char"/>
    <w:basedOn w:val="DefaultParagraphFont"/>
    <w:link w:val="Title"/>
    <w:rsid w:val="00A00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CE9"/>
    <w:pPr>
      <w:tabs>
        <w:tab w:val="left" w:pos="3600"/>
        <w:tab w:val="left" w:pos="3958"/>
      </w:tabs>
    </w:pPr>
  </w:style>
  <w:style w:type="paragraph" w:styleId="List">
    <w:name w:val="List"/>
    <w:basedOn w:val="BodyText"/>
    <w:next w:val="BodyText"/>
    <w:rsid w:val="00A00CE9"/>
    <w:pPr>
      <w:tabs>
        <w:tab w:val="left" w:pos="340"/>
      </w:tabs>
      <w:spacing w:before="60" w:after="60"/>
      <w:ind w:left="340" w:hanging="340"/>
    </w:pPr>
  </w:style>
  <w:style w:type="paragraph" w:customStyle="1" w:styleId="Note">
    <w:name w:val="Note"/>
    <w:basedOn w:val="BodyText"/>
    <w:rsid w:val="00A00C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CE9"/>
    <w:pPr>
      <w:framePr w:wrap="auto" w:hAnchor="text" w:y="6049"/>
    </w:pPr>
    <w:rPr>
      <w:color w:val="000000"/>
      <w:sz w:val="40"/>
    </w:rPr>
  </w:style>
  <w:style w:type="paragraph" w:customStyle="1" w:styleId="TOCTitle">
    <w:name w:val="TOCTitle"/>
    <w:basedOn w:val="Heading1"/>
    <w:rsid w:val="00A00CE9"/>
    <w:pPr>
      <w:spacing w:after="240"/>
      <w:jc w:val="center"/>
      <w:outlineLvl w:val="9"/>
    </w:pPr>
    <w:rPr>
      <w:caps/>
    </w:rPr>
  </w:style>
  <w:style w:type="paragraph" w:customStyle="1" w:styleId="Version">
    <w:name w:val="Version"/>
    <w:rsid w:val="00A00C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CE9"/>
    <w:pPr>
      <w:keepNext w:val="0"/>
      <w:tabs>
        <w:tab w:val="right" w:pos="4176"/>
      </w:tabs>
      <w:ind w:left="198" w:hanging="198"/>
    </w:pPr>
    <w:rPr>
      <w:rFonts w:ascii="Garamond" w:hAnsi="Garamond"/>
    </w:rPr>
  </w:style>
  <w:style w:type="paragraph" w:styleId="IndexHeading">
    <w:name w:val="index heading"/>
    <w:basedOn w:val="Normal"/>
    <w:next w:val="Index1"/>
    <w:semiHidden/>
    <w:rsid w:val="00A00CE9"/>
    <w:pPr>
      <w:spacing w:before="120" w:after="120"/>
    </w:pPr>
    <w:rPr>
      <w:rFonts w:ascii="Arial" w:hAnsi="Arial"/>
      <w:b/>
      <w:color w:val="918585"/>
      <w:sz w:val="24"/>
    </w:rPr>
  </w:style>
  <w:style w:type="paragraph" w:styleId="Header">
    <w:name w:val="header"/>
    <w:basedOn w:val="Normal"/>
    <w:link w:val="HeaderChar"/>
    <w:rsid w:val="00A00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CE9"/>
    <w:rPr>
      <w:rFonts w:ascii="Times New Roman" w:eastAsia="Times New Roman" w:hAnsi="Times New Roman" w:cs="Times New Roman"/>
      <w:sz w:val="16"/>
      <w:szCs w:val="20"/>
      <w:lang w:val="en-GB" w:eastAsia="en-US"/>
    </w:rPr>
  </w:style>
  <w:style w:type="paragraph" w:customStyle="1" w:styleId="Chapter">
    <w:name w:val="Chapter"/>
    <w:basedOn w:val="Normal"/>
    <w:rsid w:val="00A00CE9"/>
    <w:pPr>
      <w:spacing w:before="240"/>
    </w:pPr>
    <w:rPr>
      <w:rFonts w:ascii="Times New Roman" w:hAnsi="Times New Roman"/>
      <w:smallCaps/>
      <w:spacing w:val="80"/>
      <w:sz w:val="28"/>
    </w:rPr>
  </w:style>
  <w:style w:type="paragraph" w:customStyle="1" w:styleId="InChapter">
    <w:name w:val="InChapter"/>
    <w:basedOn w:val="Heading3"/>
    <w:rsid w:val="00A00CE9"/>
    <w:pPr>
      <w:spacing w:after="240"/>
      <w:outlineLvl w:val="9"/>
    </w:pPr>
    <w:rPr>
      <w:noProof/>
    </w:rPr>
  </w:style>
  <w:style w:type="paragraph" w:styleId="Index2">
    <w:name w:val="index 2"/>
    <w:basedOn w:val="Normal"/>
    <w:next w:val="Normal"/>
    <w:semiHidden/>
    <w:rsid w:val="00A00CE9"/>
    <w:pPr>
      <w:tabs>
        <w:tab w:val="right" w:pos="4176"/>
      </w:tabs>
      <w:ind w:left="568" w:hanging="284"/>
    </w:pPr>
    <w:rPr>
      <w:rFonts w:ascii="Garamond" w:hAnsi="Garamond"/>
    </w:rPr>
  </w:style>
  <w:style w:type="paragraph" w:customStyle="1" w:styleId="Byline">
    <w:name w:val="Byline"/>
    <w:rsid w:val="00A00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CE9"/>
    <w:pPr>
      <w:tabs>
        <w:tab w:val="clear" w:pos="3600"/>
        <w:tab w:val="clear" w:pos="3958"/>
      </w:tabs>
      <w:jc w:val="right"/>
    </w:pPr>
  </w:style>
  <w:style w:type="paragraph" w:styleId="Caption">
    <w:name w:val="caption"/>
    <w:basedOn w:val="BodyText"/>
    <w:next w:val="Normal"/>
    <w:qFormat/>
    <w:rsid w:val="00A00CE9"/>
    <w:pPr>
      <w:framePr w:w="2268" w:hSpace="181" w:vSpace="181" w:wrap="around" w:vAnchor="text" w:hAnchor="page" w:x="1135" w:y="285" w:anchorLock="1"/>
    </w:pPr>
    <w:rPr>
      <w:i/>
    </w:rPr>
  </w:style>
  <w:style w:type="paragraph" w:customStyle="1" w:styleId="MiniTOCTitle">
    <w:name w:val="MiniTOCTitle"/>
    <w:basedOn w:val="Heading4"/>
    <w:rsid w:val="00A00CE9"/>
    <w:pPr>
      <w:spacing w:before="240"/>
      <w:outlineLvl w:val="9"/>
    </w:pPr>
    <w:rPr>
      <w:noProof/>
      <w:sz w:val="24"/>
    </w:rPr>
  </w:style>
  <w:style w:type="paragraph" w:customStyle="1" w:styleId="MiniTOCItem">
    <w:name w:val="MiniTOCItem"/>
    <w:basedOn w:val="ListBullet"/>
    <w:rsid w:val="00A00CE9"/>
    <w:pPr>
      <w:numPr>
        <w:numId w:val="0"/>
      </w:numPr>
      <w:tabs>
        <w:tab w:val="right" w:leader="dot" w:pos="6521"/>
      </w:tabs>
      <w:spacing w:before="0" w:after="0"/>
    </w:pPr>
  </w:style>
  <w:style w:type="paragraph" w:customStyle="1" w:styleId="TOFTitle">
    <w:name w:val="TOFTitle"/>
    <w:basedOn w:val="TOCTitle"/>
    <w:rsid w:val="00A00CE9"/>
  </w:style>
  <w:style w:type="paragraph" w:styleId="TableofFigures">
    <w:name w:val="table of figures"/>
    <w:basedOn w:val="Normal"/>
    <w:next w:val="Normal"/>
    <w:semiHidden/>
    <w:rsid w:val="00A00CE9"/>
    <w:pPr>
      <w:tabs>
        <w:tab w:val="right" w:leader="dot" w:pos="9072"/>
      </w:tabs>
      <w:ind w:left="970" w:hanging="403"/>
    </w:pPr>
    <w:rPr>
      <w:rFonts w:ascii="Times New Roman" w:hAnsi="Times New Roman"/>
      <w:b/>
    </w:rPr>
  </w:style>
  <w:style w:type="paragraph" w:styleId="ListNumber">
    <w:name w:val="List Number"/>
    <w:basedOn w:val="List"/>
    <w:rsid w:val="00A00CE9"/>
    <w:pPr>
      <w:numPr>
        <w:numId w:val="15"/>
      </w:numPr>
      <w:tabs>
        <w:tab w:val="clear" w:pos="340"/>
      </w:tabs>
    </w:pPr>
  </w:style>
  <w:style w:type="character" w:customStyle="1" w:styleId="WingdingSymbols">
    <w:name w:val="Wingding Symbols"/>
    <w:rsid w:val="00A00CE9"/>
    <w:rPr>
      <w:rFonts w:ascii="Wingdings" w:hAnsi="Wingdings"/>
    </w:rPr>
  </w:style>
  <w:style w:type="paragraph" w:customStyle="1" w:styleId="TableHeading">
    <w:name w:val="Table Heading"/>
    <w:basedOn w:val="HeadingBase"/>
    <w:rsid w:val="00A00CE9"/>
    <w:pPr>
      <w:keepLines/>
      <w:pBdr>
        <w:bottom w:val="single" w:sz="6" w:space="1" w:color="918585"/>
      </w:pBdr>
      <w:spacing w:before="240"/>
    </w:pPr>
  </w:style>
  <w:style w:type="character" w:customStyle="1" w:styleId="HotSpot">
    <w:name w:val="HotSpot"/>
    <w:rsid w:val="00A00CE9"/>
    <w:rPr>
      <w:color w:val="0033CC"/>
      <w:u w:val="none"/>
    </w:rPr>
  </w:style>
  <w:style w:type="paragraph" w:customStyle="1" w:styleId="BodyTextRight">
    <w:name w:val="Body Text Right"/>
    <w:basedOn w:val="BodyText"/>
    <w:rsid w:val="00A00CE9"/>
    <w:pPr>
      <w:spacing w:before="0" w:after="0"/>
      <w:jc w:val="right"/>
    </w:pPr>
  </w:style>
  <w:style w:type="paragraph" w:styleId="Index3">
    <w:name w:val="index 3"/>
    <w:basedOn w:val="ListNumber2"/>
    <w:next w:val="Normal"/>
    <w:semiHidden/>
    <w:rsid w:val="00A00CE9"/>
    <w:pPr>
      <w:numPr>
        <w:numId w:val="0"/>
      </w:numPr>
      <w:tabs>
        <w:tab w:val="right" w:leader="dot" w:pos="4176"/>
      </w:tabs>
    </w:pPr>
  </w:style>
  <w:style w:type="paragraph" w:styleId="ListNumber2">
    <w:name w:val="List Number 2"/>
    <w:basedOn w:val="List2"/>
    <w:rsid w:val="00A00CE9"/>
    <w:pPr>
      <w:numPr>
        <w:numId w:val="10"/>
      </w:numPr>
      <w:tabs>
        <w:tab w:val="clear" w:pos="1060"/>
      </w:tabs>
    </w:pPr>
  </w:style>
  <w:style w:type="paragraph" w:customStyle="1" w:styleId="MarginNote">
    <w:name w:val="Margin Note"/>
    <w:basedOn w:val="BodyText"/>
    <w:rsid w:val="00A00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CE9"/>
    <w:rPr>
      <w:sz w:val="32"/>
    </w:rPr>
  </w:style>
  <w:style w:type="paragraph" w:customStyle="1" w:styleId="HeadingProcedure">
    <w:name w:val="Heading Procedure"/>
    <w:basedOn w:val="HeadingBase"/>
    <w:next w:val="Normal"/>
    <w:rsid w:val="00A00CE9"/>
    <w:pPr>
      <w:tabs>
        <w:tab w:val="left" w:pos="0"/>
      </w:tabs>
      <w:spacing w:before="120" w:after="60"/>
    </w:pPr>
    <w:rPr>
      <w:i/>
      <w:color w:val="918585"/>
      <w:sz w:val="22"/>
    </w:rPr>
  </w:style>
  <w:style w:type="paragraph" w:customStyle="1" w:styleId="TableBodyText">
    <w:name w:val="Table Body Text"/>
    <w:basedOn w:val="BodyText"/>
    <w:rsid w:val="00A00CE9"/>
    <w:pPr>
      <w:spacing w:before="60" w:after="60"/>
    </w:pPr>
  </w:style>
  <w:style w:type="paragraph" w:styleId="ListContinue">
    <w:name w:val="List Continue"/>
    <w:basedOn w:val="List"/>
    <w:rsid w:val="00A00CE9"/>
    <w:pPr>
      <w:ind w:firstLine="0"/>
    </w:pPr>
  </w:style>
  <w:style w:type="paragraph" w:customStyle="1" w:styleId="ListNote">
    <w:name w:val="List Note"/>
    <w:basedOn w:val="List"/>
    <w:rsid w:val="00A00CE9"/>
    <w:pPr>
      <w:pBdr>
        <w:top w:val="single" w:sz="6" w:space="2" w:color="918585"/>
        <w:bottom w:val="single" w:sz="6" w:space="2" w:color="918585"/>
      </w:pBdr>
      <w:tabs>
        <w:tab w:val="left" w:pos="1021"/>
      </w:tabs>
      <w:ind w:firstLine="0"/>
    </w:pPr>
  </w:style>
  <w:style w:type="paragraph" w:customStyle="1" w:styleId="Warning">
    <w:name w:val="Warning"/>
    <w:basedOn w:val="BodyText"/>
    <w:rsid w:val="00A00CE9"/>
    <w:pPr>
      <w:shd w:val="clear" w:color="auto" w:fill="D9D9D9"/>
      <w:tabs>
        <w:tab w:val="left" w:pos="992"/>
      </w:tabs>
      <w:ind w:left="119" w:right="119"/>
    </w:pPr>
    <w:rPr>
      <w:sz w:val="20"/>
    </w:rPr>
  </w:style>
  <w:style w:type="paragraph" w:customStyle="1" w:styleId="MarginIcons">
    <w:name w:val="Margin Icons"/>
    <w:basedOn w:val="BodyText"/>
    <w:rsid w:val="00A00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CE9"/>
    <w:rPr>
      <w:rFonts w:ascii="Courier New" w:hAnsi="Courier New"/>
    </w:rPr>
  </w:style>
  <w:style w:type="paragraph" w:customStyle="1" w:styleId="NoteBullet">
    <w:name w:val="Note Bullet"/>
    <w:basedOn w:val="Note"/>
    <w:rsid w:val="00A00CE9"/>
    <w:pPr>
      <w:tabs>
        <w:tab w:val="clear" w:pos="680"/>
      </w:tabs>
      <w:spacing w:before="60" w:after="60"/>
    </w:pPr>
  </w:style>
  <w:style w:type="paragraph" w:customStyle="1" w:styleId="SubHeading2">
    <w:name w:val="SubHeading2"/>
    <w:basedOn w:val="HeadingBase"/>
    <w:rsid w:val="00A00CE9"/>
    <w:pPr>
      <w:spacing w:before="240" w:after="60"/>
    </w:pPr>
    <w:rPr>
      <w:sz w:val="20"/>
    </w:rPr>
  </w:style>
  <w:style w:type="paragraph" w:customStyle="1" w:styleId="SubHeading1">
    <w:name w:val="SubHeading1"/>
    <w:basedOn w:val="HeadingBase"/>
    <w:rsid w:val="00A00CE9"/>
    <w:pPr>
      <w:spacing w:before="240" w:after="60"/>
    </w:pPr>
    <w:rPr>
      <w:color w:val="918585"/>
      <w:sz w:val="22"/>
    </w:rPr>
  </w:style>
  <w:style w:type="paragraph" w:customStyle="1" w:styleId="SideHeading">
    <w:name w:val="Side Heading"/>
    <w:basedOn w:val="HeadingBase"/>
    <w:rsid w:val="00A00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CE9"/>
    <w:pPr>
      <w:tabs>
        <w:tab w:val="num" w:pos="360"/>
      </w:tabs>
    </w:pPr>
  </w:style>
  <w:style w:type="paragraph" w:styleId="PlainText">
    <w:name w:val="Plain Text"/>
    <w:basedOn w:val="Normal"/>
    <w:link w:val="PlainTextChar"/>
    <w:rsid w:val="00A00CE9"/>
    <w:rPr>
      <w:sz w:val="20"/>
    </w:rPr>
  </w:style>
  <w:style w:type="character" w:customStyle="1" w:styleId="PlainTextChar">
    <w:name w:val="Plain Text Char"/>
    <w:basedOn w:val="DefaultParagraphFont"/>
    <w:link w:val="PlainText"/>
    <w:rsid w:val="00A00CE9"/>
    <w:rPr>
      <w:rFonts w:ascii="Courier New" w:eastAsia="Times New Roman" w:hAnsi="Courier New" w:cs="Times New Roman"/>
      <w:sz w:val="20"/>
      <w:szCs w:val="20"/>
      <w:lang w:eastAsia="en-US"/>
    </w:rPr>
  </w:style>
  <w:style w:type="character" w:customStyle="1" w:styleId="MenuOption">
    <w:name w:val="Menu Option"/>
    <w:basedOn w:val="DefaultParagraphFont"/>
    <w:rsid w:val="00A00CE9"/>
    <w:rPr>
      <w:b/>
      <w:smallCaps/>
    </w:rPr>
  </w:style>
  <w:style w:type="paragraph" w:customStyle="1" w:styleId="TableListNumber">
    <w:name w:val="Table List Number"/>
    <w:basedOn w:val="ListNumber"/>
    <w:rsid w:val="00A00CE9"/>
    <w:pPr>
      <w:numPr>
        <w:numId w:val="0"/>
      </w:numPr>
    </w:pPr>
  </w:style>
  <w:style w:type="paragraph" w:styleId="TOC4">
    <w:name w:val="toc 4"/>
    <w:basedOn w:val="TOCBase"/>
    <w:next w:val="Normal"/>
    <w:semiHidden/>
    <w:rsid w:val="00A00CE9"/>
    <w:pPr>
      <w:tabs>
        <w:tab w:val="right" w:leader="dot" w:pos="9071"/>
      </w:tabs>
      <w:ind w:left="1701"/>
    </w:pPr>
  </w:style>
  <w:style w:type="paragraph" w:customStyle="1" w:styleId="ListAlpha">
    <w:name w:val="List Alpha"/>
    <w:basedOn w:val="List"/>
    <w:rsid w:val="00A00CE9"/>
    <w:pPr>
      <w:numPr>
        <w:numId w:val="9"/>
      </w:numPr>
    </w:pPr>
  </w:style>
  <w:style w:type="paragraph" w:customStyle="1" w:styleId="ListAlpha2">
    <w:name w:val="List Alpha 2"/>
    <w:basedOn w:val="List2"/>
    <w:rsid w:val="00A00CE9"/>
    <w:pPr>
      <w:numPr>
        <w:numId w:val="8"/>
      </w:numPr>
    </w:pPr>
  </w:style>
  <w:style w:type="paragraph" w:styleId="List2">
    <w:name w:val="List 2"/>
    <w:basedOn w:val="BodyText"/>
    <w:rsid w:val="00A00CE9"/>
    <w:pPr>
      <w:tabs>
        <w:tab w:val="left" w:pos="680"/>
      </w:tabs>
      <w:spacing w:before="60" w:after="60"/>
      <w:ind w:left="680" w:hanging="340"/>
    </w:pPr>
  </w:style>
  <w:style w:type="paragraph" w:styleId="List3">
    <w:name w:val="List 3"/>
    <w:basedOn w:val="BodyText"/>
    <w:rsid w:val="00A00CE9"/>
    <w:pPr>
      <w:tabs>
        <w:tab w:val="left" w:pos="1021"/>
      </w:tabs>
      <w:spacing w:before="60" w:after="60"/>
      <w:ind w:left="1020" w:hanging="340"/>
    </w:pPr>
  </w:style>
  <w:style w:type="paragraph" w:styleId="List4">
    <w:name w:val="List 4"/>
    <w:basedOn w:val="BodyText"/>
    <w:rsid w:val="00A00CE9"/>
    <w:pPr>
      <w:tabs>
        <w:tab w:val="left" w:pos="1361"/>
      </w:tabs>
      <w:spacing w:before="60" w:after="60"/>
      <w:ind w:left="1361" w:hanging="340"/>
    </w:pPr>
  </w:style>
  <w:style w:type="paragraph" w:styleId="List5">
    <w:name w:val="List 5"/>
    <w:basedOn w:val="BodyText"/>
    <w:rsid w:val="00A00CE9"/>
    <w:pPr>
      <w:tabs>
        <w:tab w:val="left" w:pos="1701"/>
      </w:tabs>
      <w:spacing w:before="60" w:after="60"/>
      <w:ind w:left="1701" w:hanging="340"/>
    </w:pPr>
  </w:style>
  <w:style w:type="paragraph" w:styleId="ListBullet3">
    <w:name w:val="List Bullet 3"/>
    <w:basedOn w:val="List3"/>
    <w:rsid w:val="00A00CE9"/>
    <w:pPr>
      <w:numPr>
        <w:numId w:val="14"/>
      </w:numPr>
      <w:tabs>
        <w:tab w:val="clear" w:pos="1021"/>
      </w:tabs>
      <w:ind w:left="1037" w:hanging="357"/>
    </w:pPr>
  </w:style>
  <w:style w:type="paragraph" w:styleId="ListBullet4">
    <w:name w:val="List Bullet 4"/>
    <w:basedOn w:val="List4"/>
    <w:rsid w:val="00A00CE9"/>
    <w:pPr>
      <w:numPr>
        <w:numId w:val="3"/>
      </w:numPr>
      <w:tabs>
        <w:tab w:val="clear" w:pos="1361"/>
      </w:tabs>
    </w:pPr>
  </w:style>
  <w:style w:type="paragraph" w:styleId="ListBullet5">
    <w:name w:val="List Bullet 5"/>
    <w:basedOn w:val="List5"/>
    <w:rsid w:val="00A00CE9"/>
    <w:pPr>
      <w:numPr>
        <w:numId w:val="4"/>
      </w:numPr>
    </w:pPr>
  </w:style>
  <w:style w:type="paragraph" w:styleId="ListContinue2">
    <w:name w:val="List Continue 2"/>
    <w:basedOn w:val="List2"/>
    <w:rsid w:val="00A00CE9"/>
    <w:pPr>
      <w:ind w:firstLine="0"/>
    </w:pPr>
  </w:style>
  <w:style w:type="paragraph" w:styleId="ListContinue3">
    <w:name w:val="List Continue 3"/>
    <w:basedOn w:val="List3"/>
    <w:rsid w:val="00A00CE9"/>
    <w:pPr>
      <w:ind w:left="1021" w:firstLine="0"/>
    </w:pPr>
  </w:style>
  <w:style w:type="paragraph" w:styleId="ListContinue4">
    <w:name w:val="List Continue 4"/>
    <w:basedOn w:val="List4"/>
    <w:rsid w:val="00A00CE9"/>
    <w:pPr>
      <w:ind w:firstLine="0"/>
    </w:pPr>
  </w:style>
  <w:style w:type="paragraph" w:styleId="ListContinue5">
    <w:name w:val="List Continue 5"/>
    <w:basedOn w:val="List5"/>
    <w:rsid w:val="00A00CE9"/>
    <w:pPr>
      <w:ind w:firstLine="0"/>
    </w:pPr>
  </w:style>
  <w:style w:type="paragraph" w:styleId="ListNumber3">
    <w:name w:val="List Number 3"/>
    <w:basedOn w:val="List3"/>
    <w:rsid w:val="00A00CE9"/>
    <w:pPr>
      <w:numPr>
        <w:numId w:val="5"/>
      </w:numPr>
    </w:pPr>
  </w:style>
  <w:style w:type="paragraph" w:styleId="ListNumber4">
    <w:name w:val="List Number 4"/>
    <w:basedOn w:val="List4"/>
    <w:rsid w:val="00A00CE9"/>
    <w:pPr>
      <w:numPr>
        <w:numId w:val="6"/>
      </w:numPr>
    </w:pPr>
  </w:style>
  <w:style w:type="paragraph" w:styleId="ListNumber5">
    <w:name w:val="List Number 5"/>
    <w:basedOn w:val="List5"/>
    <w:rsid w:val="00A00CE9"/>
    <w:pPr>
      <w:numPr>
        <w:numId w:val="7"/>
      </w:numPr>
    </w:pPr>
  </w:style>
  <w:style w:type="paragraph" w:styleId="BlockText">
    <w:name w:val="Block Text"/>
    <w:basedOn w:val="Normal"/>
    <w:rsid w:val="00A00CE9"/>
    <w:pPr>
      <w:spacing w:after="120"/>
      <w:ind w:left="1440" w:right="1440"/>
    </w:pPr>
  </w:style>
  <w:style w:type="character" w:customStyle="1" w:styleId="Subscript">
    <w:name w:val="Subscript"/>
    <w:basedOn w:val="DefaultParagraphFont"/>
    <w:rsid w:val="00A00CE9"/>
    <w:rPr>
      <w:sz w:val="16"/>
      <w:vertAlign w:val="subscript"/>
    </w:rPr>
  </w:style>
  <w:style w:type="character" w:customStyle="1" w:styleId="Superscript">
    <w:name w:val="Superscript"/>
    <w:basedOn w:val="DefaultParagraphFont"/>
    <w:rsid w:val="00A00CE9"/>
    <w:rPr>
      <w:sz w:val="16"/>
      <w:vertAlign w:val="superscript"/>
    </w:rPr>
  </w:style>
  <w:style w:type="character" w:customStyle="1" w:styleId="Symbols">
    <w:name w:val="Symbols"/>
    <w:basedOn w:val="DefaultParagraphFont"/>
    <w:rsid w:val="00A00CE9"/>
    <w:rPr>
      <w:rFonts w:ascii="Symbol" w:hAnsi="Symbol"/>
    </w:rPr>
  </w:style>
  <w:style w:type="character" w:customStyle="1" w:styleId="MenuOptions">
    <w:name w:val="Menu Options"/>
    <w:basedOn w:val="DefaultParagraphFont"/>
    <w:rsid w:val="00A00CE9"/>
    <w:rPr>
      <w:rFonts w:ascii="Arial Narrow" w:hAnsi="Arial Narrow"/>
      <w:smallCaps/>
    </w:rPr>
  </w:style>
  <w:style w:type="character" w:customStyle="1" w:styleId="Buttons">
    <w:name w:val="Buttons"/>
    <w:basedOn w:val="DefaultParagraphFont"/>
    <w:rsid w:val="00A00CE9"/>
    <w:rPr>
      <w:b/>
    </w:rPr>
  </w:style>
  <w:style w:type="character" w:customStyle="1" w:styleId="Underlined">
    <w:name w:val="Underlined"/>
    <w:basedOn w:val="DefaultParagraphFont"/>
    <w:rsid w:val="00A00CE9"/>
    <w:rPr>
      <w:u w:val="single"/>
    </w:rPr>
  </w:style>
  <w:style w:type="paragraph" w:customStyle="1" w:styleId="TableBodyTextRight">
    <w:name w:val="Table Body Text Right"/>
    <w:basedOn w:val="TableBodyText"/>
    <w:rsid w:val="00A00CE9"/>
    <w:pPr>
      <w:widowControl w:val="0"/>
      <w:autoSpaceDE w:val="0"/>
      <w:autoSpaceDN w:val="0"/>
      <w:adjustRightInd w:val="0"/>
      <w:jc w:val="right"/>
    </w:pPr>
    <w:rPr>
      <w:rFonts w:cs="Arial"/>
      <w:szCs w:val="18"/>
    </w:rPr>
  </w:style>
  <w:style w:type="paragraph" w:customStyle="1" w:styleId="CopyrightText">
    <w:name w:val="Copyright Text"/>
    <w:basedOn w:val="BodyText"/>
    <w:rsid w:val="00A00CE9"/>
    <w:rPr>
      <w:sz w:val="18"/>
    </w:rPr>
  </w:style>
  <w:style w:type="paragraph" w:customStyle="1" w:styleId="BodySmallRight">
    <w:name w:val="Body Small Right"/>
    <w:basedOn w:val="BodyTextRight"/>
    <w:rsid w:val="00A00CE9"/>
    <w:rPr>
      <w:sz w:val="18"/>
      <w:szCs w:val="18"/>
    </w:rPr>
  </w:style>
  <w:style w:type="paragraph" w:customStyle="1" w:styleId="MarginEdition">
    <w:name w:val="Margin Edition"/>
    <w:basedOn w:val="MarginNote"/>
    <w:rsid w:val="00A00CE9"/>
    <w:pPr>
      <w:spacing w:before="0" w:after="0"/>
    </w:pPr>
    <w:rPr>
      <w:rFonts w:ascii="Times New Roman" w:hAnsi="Times New Roman"/>
      <w:color w:val="999999"/>
    </w:rPr>
  </w:style>
  <w:style w:type="paragraph" w:customStyle="1" w:styleId="Spacer">
    <w:name w:val="Spacer"/>
    <w:basedOn w:val="Normal"/>
    <w:rsid w:val="00A00CE9"/>
    <w:rPr>
      <w:sz w:val="2"/>
      <w:szCs w:val="2"/>
    </w:rPr>
  </w:style>
  <w:style w:type="character" w:customStyle="1" w:styleId="Small">
    <w:name w:val="Small"/>
    <w:basedOn w:val="DefaultParagraphFont"/>
    <w:rsid w:val="00A00CE9"/>
    <w:rPr>
      <w:sz w:val="16"/>
    </w:rPr>
  </w:style>
  <w:style w:type="paragraph" w:customStyle="1" w:styleId="WideTable">
    <w:name w:val="Wide Table"/>
    <w:basedOn w:val="Normal"/>
    <w:rsid w:val="00A00CE9"/>
    <w:pPr>
      <w:ind w:left="-1418"/>
    </w:pPr>
    <w:rPr>
      <w:sz w:val="2"/>
      <w:szCs w:val="2"/>
    </w:rPr>
  </w:style>
  <w:style w:type="character" w:styleId="PageNumber">
    <w:name w:val="page number"/>
    <w:basedOn w:val="DefaultParagraphFont"/>
    <w:rsid w:val="00A00CE9"/>
  </w:style>
  <w:style w:type="paragraph" w:styleId="Quote">
    <w:name w:val="Quote"/>
    <w:basedOn w:val="Heading1"/>
    <w:link w:val="QuoteChar"/>
    <w:qFormat/>
    <w:rsid w:val="00A00CE9"/>
    <w:rPr>
      <w:b w:val="0"/>
      <w:sz w:val="72"/>
      <w:szCs w:val="72"/>
      <w:lang w:val="en-NZ"/>
    </w:rPr>
  </w:style>
  <w:style w:type="character" w:customStyle="1" w:styleId="QuoteChar">
    <w:name w:val="Quote Char"/>
    <w:basedOn w:val="DefaultParagraphFont"/>
    <w:link w:val="Quote"/>
    <w:rsid w:val="00A00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CE9"/>
    <w:pPr>
      <w:pageBreakBefore/>
    </w:pPr>
  </w:style>
  <w:style w:type="paragraph" w:customStyle="1" w:styleId="Border">
    <w:name w:val="Border"/>
    <w:basedOn w:val="Normal"/>
    <w:qFormat/>
    <w:rsid w:val="00A00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CE9"/>
    <w:rPr>
      <w:b/>
      <w:bCs/>
      <w:i/>
      <w:iCs/>
      <w:color w:val="auto"/>
    </w:rPr>
  </w:style>
  <w:style w:type="paragraph" w:styleId="IntenseQuote">
    <w:name w:val="Intense Quote"/>
    <w:basedOn w:val="Normal"/>
    <w:next w:val="Normal"/>
    <w:link w:val="IntenseQuoteChar"/>
    <w:uiPriority w:val="30"/>
    <w:qFormat/>
    <w:rsid w:val="00A00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CE9"/>
    <w:rPr>
      <w:smallCaps/>
      <w:color w:val="auto"/>
      <w:u w:val="single"/>
    </w:rPr>
  </w:style>
  <w:style w:type="character" w:styleId="IntenseReference">
    <w:name w:val="Intense Reference"/>
    <w:basedOn w:val="DefaultParagraphFont"/>
    <w:uiPriority w:val="32"/>
    <w:qFormat/>
    <w:rsid w:val="00A00CE9"/>
    <w:rPr>
      <w:b/>
      <w:bCs/>
      <w:smallCaps/>
      <w:color w:val="auto"/>
      <w:spacing w:val="5"/>
      <w:u w:val="single"/>
    </w:rPr>
  </w:style>
  <w:style w:type="paragraph" w:customStyle="1" w:styleId="2ColumnHeading">
    <w:name w:val="2Column Heading"/>
    <w:basedOn w:val="BodyText"/>
    <w:qFormat/>
    <w:rsid w:val="00A00CE9"/>
    <w:pPr>
      <w:spacing w:after="60"/>
      <w:ind w:left="-2268"/>
    </w:pPr>
    <w:rPr>
      <w:b/>
    </w:rPr>
  </w:style>
  <w:style w:type="paragraph" w:customStyle="1" w:styleId="Heading1TOC">
    <w:name w:val="Heading1 TOC"/>
    <w:basedOn w:val="Normal"/>
    <w:qFormat/>
    <w:rsid w:val="00A00CE9"/>
    <w:pPr>
      <w:spacing w:before="240" w:after="120"/>
    </w:pPr>
    <w:rPr>
      <w:rFonts w:ascii="Times New Roman" w:hAnsi="Times New Roman"/>
      <w:b/>
      <w:sz w:val="32"/>
    </w:rPr>
  </w:style>
  <w:style w:type="paragraph" w:customStyle="1" w:styleId="Heading2TOC">
    <w:name w:val="Heading2 TOC"/>
    <w:basedOn w:val="Normal"/>
    <w:qFormat/>
    <w:rsid w:val="00A00CE9"/>
    <w:pPr>
      <w:spacing w:before="240" w:after="60"/>
    </w:pPr>
    <w:rPr>
      <w:rFonts w:ascii="Times New Roman" w:hAnsi="Times New Roman"/>
      <w:b/>
      <w:sz w:val="28"/>
    </w:rPr>
  </w:style>
  <w:style w:type="character" w:customStyle="1" w:styleId="Underline">
    <w:name w:val="Underline"/>
    <w:basedOn w:val="DefaultParagraphFont"/>
    <w:qFormat/>
    <w:rsid w:val="00A00CE9"/>
    <w:rPr>
      <w:u w:val="single"/>
    </w:rPr>
  </w:style>
  <w:style w:type="character" w:customStyle="1" w:styleId="BoldandItalics">
    <w:name w:val="Bold and Italics"/>
    <w:qFormat/>
    <w:rsid w:val="00A00CE9"/>
    <w:rPr>
      <w:b/>
      <w:i/>
      <w:u w:val="none"/>
    </w:rPr>
  </w:style>
  <w:style w:type="paragraph" w:styleId="BalloonText">
    <w:name w:val="Balloon Text"/>
    <w:basedOn w:val="Normal"/>
    <w:link w:val="BalloonTextChar"/>
    <w:rsid w:val="00A00CE9"/>
    <w:rPr>
      <w:rFonts w:ascii="Tahoma" w:hAnsi="Tahoma" w:cs="Tahoma"/>
      <w:sz w:val="16"/>
      <w:szCs w:val="16"/>
    </w:rPr>
  </w:style>
  <w:style w:type="character" w:customStyle="1" w:styleId="BalloonTextChar">
    <w:name w:val="Balloon Text Char"/>
    <w:basedOn w:val="DefaultParagraphFont"/>
    <w:link w:val="BalloonText"/>
    <w:rsid w:val="00A00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C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CE9"/>
    <w:rPr>
      <w:b/>
      <w:color w:val="660033"/>
      <w:spacing w:val="0"/>
    </w:rPr>
  </w:style>
  <w:style w:type="paragraph" w:customStyle="1" w:styleId="Nameditemlist">
    <w:name w:val="Named item list"/>
    <w:basedOn w:val="BodyText"/>
    <w:qFormat/>
    <w:rsid w:val="00A00CE9"/>
    <w:pPr>
      <w:tabs>
        <w:tab w:val="left" w:pos="2835"/>
      </w:tabs>
      <w:ind w:left="2835" w:hanging="2835"/>
    </w:pPr>
  </w:style>
  <w:style w:type="paragraph" w:customStyle="1" w:styleId="BodyTextnopadding">
    <w:name w:val="Body Text no padding"/>
    <w:basedOn w:val="BodyText"/>
    <w:qFormat/>
    <w:rsid w:val="00A00CE9"/>
    <w:pPr>
      <w:spacing w:before="0" w:after="0"/>
    </w:pPr>
  </w:style>
  <w:style w:type="paragraph" w:customStyle="1" w:styleId="BodyTextBold">
    <w:name w:val="Body Text Bold"/>
    <w:basedOn w:val="BodyText"/>
    <w:qFormat/>
    <w:rsid w:val="00A00CE9"/>
    <w:rPr>
      <w:b/>
    </w:rPr>
  </w:style>
  <w:style w:type="character" w:styleId="Hyperlink">
    <w:name w:val="Hyperlink"/>
    <w:basedOn w:val="DefaultParagraphFont"/>
    <w:uiPriority w:val="99"/>
    <w:unhideWhenUsed/>
    <w:rsid w:val="006737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1202</Words>
  <Characters>7360</Characters>
  <Application>Microsoft Office Word</Application>
  <DocSecurity>0</DocSecurity>
  <Lines>230</Lines>
  <Paragraphs>152</Paragraphs>
  <ScaleCrop>false</ScaleCrop>
  <Company>Author-it Software Corporation Ltd.</Company>
  <LinksUpToDate>false</LinksUpToDate>
  <CharactersWithSpaces>8410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ICTBWN308 Work safely on live optical fibre installations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2025-03-01T08:45:00Z</dcterms:created>
  <dcterms:modified xsi:type="dcterms:W3CDTF">2025-03-01T08:45:00Z</dcterms:modified>
</cp:coreProperties>
</file>