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4AE" w:rsidP="002754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ICTBWN308 Work safely on live optical fibre installations</w:t>
      </w:r>
      <w:r>
        <w:fldChar w:fldCharType="end"/>
      </w:r>
    </w:p>
    <w:p w:rsidR="002754AE" w:rsidP="002754AE">
      <w:pPr>
        <w:pStyle w:val="Version"/>
        <w:sectPr w:rsidSect="009B5D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5D9B" w:rsidP="009B5D9B">
      <w:pPr>
        <w:pStyle w:val="SuperHeading"/>
      </w:pPr>
      <w:r w:rsidRPr="009B5D9B">
        <w:t>Assessment Requirements for ICTBWN308 Work safely on live optical fibre installations</w:t>
      </w:r>
    </w:p>
    <w:p w:rsidR="00000000" w:rsidRPr="009B5D9B" w:rsidP="009B5D9B">
      <w:pPr>
        <w:pStyle w:val="Heading1"/>
      </w:pPr>
      <w:bookmarkStart w:id="1" w:name="O_1039595"/>
      <w:bookmarkEnd w:id="1"/>
      <w:r w:rsidRPr="009B5D9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9B5D9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9B" w:rsidP="009B5D9B">
            <w:pPr>
              <w:pStyle w:val="BodyText"/>
            </w:pPr>
            <w:r w:rsidRPr="009B5D9B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9B">
            <w:pPr>
              <w:pStyle w:val="BodyText"/>
              <w:rPr>
                <w:lang w:val="en-NZ"/>
              </w:rPr>
            </w:pPr>
            <w:r w:rsidRPr="009B5D9B">
              <w:rPr>
                <w:rStyle w:val="SpecialBold"/>
              </w:rPr>
              <w:t>Comments</w:t>
            </w:r>
          </w:p>
        </w:tc>
      </w:tr>
      <w:tr w:rsidTr="009B5D9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9B">
            <w:pPr>
              <w:pStyle w:val="BodyText"/>
              <w:rPr>
                <w:lang w:val="en-NZ"/>
              </w:rPr>
            </w:pPr>
            <w:r w:rsidRPr="009B5D9B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9B" w:rsidP="009B5D9B">
            <w:pPr>
              <w:pStyle w:val="BodyText"/>
            </w:pPr>
            <w:r w:rsidRPr="009B5D9B">
              <w:t>This version released with ICT Information and Communications Technology Training Package Release 5.0.</w:t>
            </w:r>
          </w:p>
        </w:tc>
      </w:tr>
    </w:tbl>
    <w:p w:rsidR="00000000" w:rsidRPr="009B5D9B" w:rsidP="009B5D9B">
      <w:pPr>
        <w:pStyle w:val="BodyText"/>
      </w:pPr>
    </w:p>
    <w:p w:rsidR="00000000" w:rsidRPr="009B5D9B" w:rsidP="009B5D9B">
      <w:pPr>
        <w:pStyle w:val="AllowPageBreak"/>
      </w:pPr>
    </w:p>
    <w:p w:rsidR="00000000" w:rsidRPr="009B5D9B" w:rsidP="009B5D9B">
      <w:pPr>
        <w:pStyle w:val="Heading1"/>
      </w:pPr>
      <w:bookmarkStart w:id="2" w:name="O_1039598"/>
      <w:bookmarkEnd w:id="2"/>
      <w:r w:rsidRPr="009B5D9B">
        <w:t>Performance Evidence</w:t>
      </w:r>
    </w:p>
    <w:p w:rsidR="00000000" w:rsidRPr="009B5D9B" w:rsidP="002754AE">
      <w:pPr>
        <w:pStyle w:val="BodyText"/>
      </w:pPr>
      <w:r w:rsidRPr="009B5D9B">
        <w:t>The candidate must demonstrate the ability to perform the tasks outlined in the elements, performance criteria and foundations skills, and to:</w:t>
      </w:r>
    </w:p>
    <w:p w:rsidR="00000000" w:rsidRPr="009B5D9B" w:rsidP="009B5D9B">
      <w:pPr>
        <w:pStyle w:val="ListBullet"/>
      </w:pPr>
      <w:r w:rsidRPr="009B5D9B">
        <w:t>comply with all job requirements and work health and safety (WHS) reg</w:t>
      </w:r>
      <w:r w:rsidRPr="009B5D9B">
        <w:t>ulations, standards and work practices, and environmental requirements</w:t>
      </w:r>
    </w:p>
    <w:p w:rsidR="00000000" w:rsidRPr="009B5D9B" w:rsidP="009B5D9B">
      <w:pPr>
        <w:pStyle w:val="ListBullet"/>
      </w:pPr>
      <w:r w:rsidRPr="009B5D9B">
        <w:t>use optical power test equipment</w:t>
      </w:r>
    </w:p>
    <w:p w:rsidR="00000000" w:rsidRPr="009B5D9B" w:rsidP="009B5D9B">
      <w:pPr>
        <w:pStyle w:val="ListBullet"/>
      </w:pPr>
      <w:r w:rsidRPr="009B5D9B">
        <w:t>evaluate test results</w:t>
      </w:r>
    </w:p>
    <w:p w:rsidR="00000000" w:rsidRPr="009B5D9B" w:rsidP="009B5D9B">
      <w:pPr>
        <w:pStyle w:val="ListBullet"/>
      </w:pPr>
      <w:r w:rsidRPr="009B5D9B">
        <w:t>safely connect input and output optical fibres to the splitter</w:t>
      </w:r>
    </w:p>
    <w:p w:rsidR="00000000" w:rsidRPr="009B5D9B" w:rsidP="009B5D9B">
      <w:pPr>
        <w:pStyle w:val="ListBullet"/>
      </w:pPr>
      <w:r w:rsidRPr="009B5D9B">
        <w:t>conduct live tests measuring optical signals at three wavelength division multiplexing (WDM) wavelengths on optical devices</w:t>
      </w:r>
    </w:p>
    <w:p w:rsidR="00000000" w:rsidRPr="009B5D9B" w:rsidP="009B5D9B">
      <w:pPr>
        <w:pStyle w:val="ListBullet"/>
      </w:pPr>
      <w:r w:rsidRPr="009B5D9B">
        <w:t>conduct acceptance tests for commissioning that cover:</w:t>
      </w:r>
    </w:p>
    <w:p w:rsidR="00000000" w:rsidRPr="009B5D9B" w:rsidP="009B5D9B">
      <w:pPr>
        <w:pStyle w:val="ListBullet2"/>
      </w:pPr>
      <w:r w:rsidRPr="009B5D9B">
        <w:t>delay</w:t>
      </w:r>
    </w:p>
    <w:p w:rsidR="00000000" w:rsidRPr="009B5D9B" w:rsidP="009B5D9B">
      <w:pPr>
        <w:pStyle w:val="ListBullet2"/>
      </w:pPr>
      <w:r w:rsidRPr="009B5D9B">
        <w:t>dispersion</w:t>
      </w:r>
    </w:p>
    <w:p w:rsidR="00000000" w:rsidRPr="009B5D9B" w:rsidP="009B5D9B">
      <w:pPr>
        <w:pStyle w:val="ListBullet2"/>
      </w:pPr>
      <w:r w:rsidRPr="009B5D9B">
        <w:t>optical attenuation and loss measurements</w:t>
      </w:r>
    </w:p>
    <w:p w:rsidR="00000000" w:rsidRPr="009B5D9B" w:rsidP="009B5D9B">
      <w:pPr>
        <w:pStyle w:val="ListBullet2"/>
      </w:pPr>
      <w:r w:rsidRPr="009B5D9B">
        <w:t>optical power lev</w:t>
      </w:r>
      <w:r w:rsidRPr="009B5D9B">
        <w:t>els</w:t>
      </w:r>
    </w:p>
    <w:p w:rsidR="00000000" w:rsidRPr="009B5D9B" w:rsidP="009B5D9B">
      <w:pPr>
        <w:pStyle w:val="ListBullet2"/>
      </w:pPr>
      <w:r w:rsidRPr="009B5D9B">
        <w:t>phase</w:t>
      </w:r>
    </w:p>
    <w:p w:rsidR="00000000" w:rsidRPr="009B5D9B" w:rsidP="009B5D9B">
      <w:pPr>
        <w:pStyle w:val="ListBullet"/>
      </w:pPr>
      <w:r w:rsidRPr="009B5D9B">
        <w:t>complete connection recording.</w:t>
      </w:r>
    </w:p>
    <w:p w:rsidR="00000000" w:rsidRPr="009B5D9B" w:rsidP="009B5D9B">
      <w:pPr>
        <w:pStyle w:val="BodyText"/>
      </w:pPr>
    </w:p>
    <w:p w:rsidR="00000000" w:rsidRPr="009B5D9B" w:rsidP="002754AE">
      <w:pPr>
        <w:pStyle w:val="BodyText"/>
      </w:pPr>
      <w:r w:rsidRPr="009B5D9B">
        <w:t xml:space="preserve">Note: Evidence must be provided at least once when a specific volume or frequency is not stated. </w:t>
      </w:r>
    </w:p>
    <w:p w:rsidR="00000000" w:rsidRPr="009B5D9B" w:rsidP="009B5D9B">
      <w:pPr>
        <w:pStyle w:val="Heading1"/>
      </w:pPr>
      <w:bookmarkStart w:id="3" w:name="O_1039597"/>
      <w:bookmarkEnd w:id="3"/>
      <w:r w:rsidRPr="009B5D9B">
        <w:t>Knowledge Evidence</w:t>
      </w:r>
    </w:p>
    <w:p w:rsidR="00000000" w:rsidRPr="009B5D9B" w:rsidP="002754AE">
      <w:pPr>
        <w:pStyle w:val="BodyText"/>
      </w:pPr>
      <w:r w:rsidRPr="009B5D9B">
        <w:t>The candidate must demonstrate the knowledge required to perform the tasks ou</w:t>
      </w:r>
      <w:r w:rsidRPr="009B5D9B">
        <w:t>tlined in the elements, performance criteria, and foundation skills, which includes knowledge about:</w:t>
      </w:r>
    </w:p>
    <w:p w:rsidR="00000000" w:rsidRPr="009B5D9B" w:rsidP="009B5D9B">
      <w:pPr>
        <w:pStyle w:val="ListBullet"/>
      </w:pPr>
      <w:r w:rsidRPr="009B5D9B">
        <w:t xml:space="preserve">legislation, regulations, codes and standards for compliance that impact on work activities </w:t>
      </w:r>
    </w:p>
    <w:p w:rsidR="00000000" w:rsidRPr="009B5D9B" w:rsidP="009B5D9B">
      <w:pPr>
        <w:pStyle w:val="ListBullet"/>
      </w:pPr>
      <w:r w:rsidRPr="009B5D9B">
        <w:t>relevant organisational policies and procedures</w:t>
      </w:r>
    </w:p>
    <w:p w:rsidR="00000000" w:rsidRPr="009B5D9B" w:rsidP="009B5D9B">
      <w:pPr>
        <w:pStyle w:val="ListBullet"/>
      </w:pPr>
      <w:r w:rsidRPr="009B5D9B">
        <w:t>personal safety issues</w:t>
      </w:r>
    </w:p>
    <w:p w:rsidR="00000000" w:rsidRPr="009B5D9B" w:rsidP="009B5D9B">
      <w:pPr>
        <w:pStyle w:val="ListBullet"/>
      </w:pPr>
      <w:r w:rsidRPr="009B5D9B">
        <w:t>propagation of light in optical communication systems</w:t>
      </w:r>
    </w:p>
    <w:p w:rsidR="00000000" w:rsidRPr="009B5D9B" w:rsidP="009B5D9B">
      <w:pPr>
        <w:pStyle w:val="ListBullet"/>
      </w:pPr>
      <w:r w:rsidRPr="009B5D9B">
        <w:t>role of transmitters and receivers in optical communication systems</w:t>
      </w:r>
    </w:p>
    <w:p w:rsidR="00000000" w:rsidRPr="009B5D9B" w:rsidP="009B5D9B">
      <w:pPr>
        <w:pStyle w:val="ListBullet"/>
      </w:pPr>
      <w:r w:rsidRPr="009B5D9B">
        <w:t>critical aspects of site engineering</w:t>
      </w:r>
    </w:p>
    <w:p w:rsidR="00000000" w:rsidRPr="009B5D9B" w:rsidP="009B5D9B">
      <w:pPr>
        <w:pStyle w:val="ListBullet"/>
      </w:pPr>
      <w:r w:rsidRPr="009B5D9B">
        <w:t xml:space="preserve">specific WHS risks and controls relating to the handling of optical fibre </w:t>
      </w:r>
      <w:r w:rsidRPr="009B5D9B">
        <w:t>and the use of laser light sources</w:t>
      </w:r>
    </w:p>
    <w:p w:rsidR="00000000" w:rsidRPr="009B5D9B" w:rsidP="009B5D9B">
      <w:pPr>
        <w:pStyle w:val="ListBullet"/>
      </w:pPr>
      <w:r w:rsidRPr="009B5D9B">
        <w:t>WDM applications.</w:t>
      </w:r>
    </w:p>
    <w:p w:rsidR="00000000" w:rsidRPr="009B5D9B" w:rsidP="009B5D9B">
      <w:pPr>
        <w:pStyle w:val="AllowPageBreak"/>
      </w:pPr>
    </w:p>
    <w:p w:rsidR="00000000" w:rsidRPr="009B5D9B" w:rsidP="009B5D9B">
      <w:pPr>
        <w:pStyle w:val="Heading1"/>
      </w:pPr>
      <w:bookmarkStart w:id="4" w:name="O_1039596"/>
      <w:bookmarkEnd w:id="4"/>
      <w:r w:rsidRPr="009B5D9B">
        <w:t>Assessment Conditions</w:t>
      </w:r>
    </w:p>
    <w:p w:rsidR="00000000" w:rsidRPr="009B5D9B" w:rsidP="002754AE">
      <w:pPr>
        <w:pStyle w:val="BodyText"/>
      </w:pPr>
      <w:r w:rsidRPr="009B5D9B">
        <w:t>This unit of competency falls into the definition of high risk work and should be delivered and assessed in accordance with the national standard.</w:t>
      </w:r>
    </w:p>
    <w:p w:rsidR="00000000" w:rsidRPr="009B5D9B" w:rsidP="002754AE">
      <w:pPr>
        <w:pStyle w:val="BodyText"/>
      </w:pPr>
      <w:r w:rsidRPr="009B5D9B">
        <w:t xml:space="preserve">Skills must be </w:t>
      </w:r>
      <w:r w:rsidRPr="009B5D9B">
        <w:t>assessed in a workplace or simulated environment where conditions are typical of those in a telecommunications work environment or workplace.</w:t>
      </w:r>
    </w:p>
    <w:p w:rsidR="00000000" w:rsidRPr="009B5D9B" w:rsidP="002754AE">
      <w:pPr>
        <w:pStyle w:val="BodyText"/>
      </w:pPr>
      <w:r w:rsidRPr="009B5D9B">
        <w:t>Access is required to:</w:t>
      </w:r>
    </w:p>
    <w:p w:rsidR="00000000" w:rsidRPr="009B5D9B" w:rsidP="009B5D9B">
      <w:pPr>
        <w:pStyle w:val="ListBullet"/>
      </w:pPr>
      <w:r w:rsidRPr="009B5D9B">
        <w:t>a WDM system and relevant optical splitter</w:t>
      </w:r>
    </w:p>
    <w:p w:rsidR="00000000" w:rsidRPr="009B5D9B" w:rsidP="009B5D9B">
      <w:pPr>
        <w:pStyle w:val="ListBullet"/>
      </w:pPr>
      <w:r w:rsidRPr="009B5D9B">
        <w:t>tools, equipment and personal protective equipm</w:t>
      </w:r>
      <w:r w:rsidRPr="009B5D9B">
        <w:t>ent currently used in industry</w:t>
      </w:r>
    </w:p>
    <w:p w:rsidR="00000000" w:rsidRPr="009B5D9B" w:rsidP="009B5D9B">
      <w:pPr>
        <w:pStyle w:val="ListBullet"/>
      </w:pPr>
      <w:r w:rsidRPr="009B5D9B">
        <w:t>relevant regulatory and equipment documentation that impacts on work activities.</w:t>
      </w:r>
    </w:p>
    <w:p w:rsidR="00000000" w:rsidRPr="009B5D9B" w:rsidP="009B5D9B">
      <w:pPr>
        <w:pStyle w:val="BodyText"/>
      </w:pPr>
    </w:p>
    <w:p w:rsidR="00000000" w:rsidRPr="009B5D9B" w:rsidP="002754AE">
      <w:pPr>
        <w:pStyle w:val="BodyText"/>
      </w:pPr>
      <w:r w:rsidRPr="009B5D9B">
        <w:t>Assessors of this unit must satisfy the requirements for assessors in applicable vocational education and training legislation, frameworks and/</w:t>
      </w:r>
      <w:r w:rsidRPr="009B5D9B">
        <w:t xml:space="preserve">or standards. Refer also to the </w:t>
      </w:r>
      <w:r w:rsidRPr="009B5D9B">
        <w:rPr>
          <w:rStyle w:val="Emphasis"/>
        </w:rPr>
        <w:t>Requirements for assessors</w:t>
      </w:r>
      <w:r w:rsidRPr="009B5D9B">
        <w:t xml:space="preserve"> of high risk units in the ICT Information and Communications Technology Training Package Companion Volume Implementation Guide.</w:t>
      </w:r>
    </w:p>
    <w:p w:rsidR="00000000" w:rsidRPr="009B5D9B" w:rsidP="009B5D9B">
      <w:pPr>
        <w:pStyle w:val="Heading1"/>
      </w:pPr>
      <w:bookmarkStart w:id="5" w:name="O_1039594"/>
      <w:bookmarkEnd w:id="5"/>
      <w:r w:rsidRPr="009B5D9B">
        <w:t>Links</w:t>
      </w:r>
    </w:p>
    <w:p w:rsidR="00000000" w:rsidRPr="009B5D9B" w:rsidP="002754AE">
      <w:pPr>
        <w:pStyle w:val="BodyText"/>
      </w:pPr>
      <w:r w:rsidRPr="009B5D9B">
        <w:t>Companion Volume Implementation Guides are a</w:t>
      </w:r>
      <w:r w:rsidRPr="009B5D9B">
        <w:t xml:space="preserve">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639E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B5D9B" w:rsidP="009B5D9B"/>
    <w:sectPr w:rsidSect="009B5D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9B" w:rsidRPr="002754AE" w:rsidP="002754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4AE" w:rsidP="009B5D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54AE" w:rsidP="009B5D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754AE" w:rsidP="009B5D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4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5D9B" w:rsidRPr="002754AE" w:rsidP="002754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4AE" w:rsidRPr="002D2AF8" w:rsidP="009B5D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ICTBWN308 Work safely on live optical fibre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754AE" w:rsidP="009B5D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F8DE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1857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56F6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D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5D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D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D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D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D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D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D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D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D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D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D9B"/>
  </w:style>
  <w:style w:type="character" w:customStyle="1" w:styleId="Heading1Char">
    <w:name w:val="Heading 1 Char"/>
    <w:basedOn w:val="DefaultParagraphFont"/>
    <w:link w:val="Heading1"/>
    <w:rsid w:val="009B5D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5D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D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5D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5D9B"/>
    <w:rPr>
      <w:b/>
      <w:spacing w:val="0"/>
    </w:rPr>
  </w:style>
  <w:style w:type="paragraph" w:styleId="ListBullet2">
    <w:name w:val="List Bullet 2"/>
    <w:basedOn w:val="List2"/>
    <w:rsid w:val="009B5D9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B5D9B"/>
    <w:rPr>
      <w:i/>
    </w:rPr>
  </w:style>
  <w:style w:type="paragraph" w:customStyle="1" w:styleId="SuperHeading">
    <w:name w:val="SuperHeading"/>
    <w:basedOn w:val="Normal"/>
    <w:rsid w:val="009B5D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5D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5D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D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D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5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5D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5D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D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D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D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D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5D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D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5D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D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D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5D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5D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5D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D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D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5D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D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5D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D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5D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D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D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D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D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5D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D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D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D9B"/>
  </w:style>
  <w:style w:type="paragraph" w:styleId="TableofFigures">
    <w:name w:val="table of figures"/>
    <w:basedOn w:val="Normal"/>
    <w:next w:val="Normal"/>
    <w:semiHidden/>
    <w:rsid w:val="009B5D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D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5D9B"/>
    <w:rPr>
      <w:rFonts w:ascii="Wingdings" w:hAnsi="Wingdings"/>
    </w:rPr>
  </w:style>
  <w:style w:type="paragraph" w:customStyle="1" w:styleId="TableHeading">
    <w:name w:val="Table Heading"/>
    <w:basedOn w:val="HeadingBase"/>
    <w:rsid w:val="009B5D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D9B"/>
    <w:rPr>
      <w:color w:val="0033CC"/>
      <w:u w:val="none"/>
    </w:rPr>
  </w:style>
  <w:style w:type="paragraph" w:customStyle="1" w:styleId="BodyTextRight">
    <w:name w:val="Body Text Right"/>
    <w:basedOn w:val="BodyText"/>
    <w:rsid w:val="009B5D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D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D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D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D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D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5D9B"/>
    <w:rPr>
      <w:sz w:val="32"/>
    </w:rPr>
  </w:style>
  <w:style w:type="paragraph" w:customStyle="1" w:styleId="HeadingProcedure">
    <w:name w:val="Heading Procedure"/>
    <w:basedOn w:val="HeadingBase"/>
    <w:next w:val="Normal"/>
    <w:rsid w:val="009B5D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D9B"/>
    <w:pPr>
      <w:spacing w:before="60" w:after="60"/>
    </w:pPr>
  </w:style>
  <w:style w:type="paragraph" w:styleId="ListContinue">
    <w:name w:val="List Continue"/>
    <w:basedOn w:val="List"/>
    <w:rsid w:val="009B5D9B"/>
    <w:pPr>
      <w:ind w:firstLine="0"/>
    </w:pPr>
  </w:style>
  <w:style w:type="paragraph" w:customStyle="1" w:styleId="ListNote">
    <w:name w:val="List Note"/>
    <w:basedOn w:val="List"/>
    <w:rsid w:val="009B5D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D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D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D9B"/>
    <w:rPr>
      <w:rFonts w:ascii="Courier New" w:hAnsi="Courier New"/>
    </w:rPr>
  </w:style>
  <w:style w:type="paragraph" w:customStyle="1" w:styleId="NoteBullet">
    <w:name w:val="Note Bullet"/>
    <w:basedOn w:val="Note"/>
    <w:rsid w:val="009B5D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D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D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D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D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5D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D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5D9B"/>
    <w:rPr>
      <w:b/>
      <w:smallCaps/>
    </w:rPr>
  </w:style>
  <w:style w:type="paragraph" w:customStyle="1" w:styleId="TableListNumber">
    <w:name w:val="Table List Number"/>
    <w:basedOn w:val="ListNumber"/>
    <w:rsid w:val="009B5D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D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D9B"/>
    <w:pPr>
      <w:numPr>
        <w:numId w:val="9"/>
      </w:numPr>
    </w:pPr>
  </w:style>
  <w:style w:type="paragraph" w:customStyle="1" w:styleId="ListAlpha2">
    <w:name w:val="List Alpha 2"/>
    <w:basedOn w:val="List2"/>
    <w:rsid w:val="009B5D9B"/>
    <w:pPr>
      <w:numPr>
        <w:numId w:val="8"/>
      </w:numPr>
    </w:pPr>
  </w:style>
  <w:style w:type="paragraph" w:styleId="List2">
    <w:name w:val="List 2"/>
    <w:basedOn w:val="BodyText"/>
    <w:rsid w:val="009B5D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5D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D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D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5D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5D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5D9B"/>
    <w:pPr>
      <w:numPr>
        <w:numId w:val="4"/>
      </w:numPr>
    </w:pPr>
  </w:style>
  <w:style w:type="paragraph" w:styleId="ListContinue2">
    <w:name w:val="List Continue 2"/>
    <w:basedOn w:val="List2"/>
    <w:rsid w:val="009B5D9B"/>
    <w:pPr>
      <w:ind w:firstLine="0"/>
    </w:pPr>
  </w:style>
  <w:style w:type="paragraph" w:styleId="ListContinue3">
    <w:name w:val="List Continue 3"/>
    <w:basedOn w:val="List3"/>
    <w:rsid w:val="009B5D9B"/>
    <w:pPr>
      <w:ind w:left="1021" w:firstLine="0"/>
    </w:pPr>
  </w:style>
  <w:style w:type="paragraph" w:styleId="ListContinue4">
    <w:name w:val="List Continue 4"/>
    <w:basedOn w:val="List4"/>
    <w:rsid w:val="009B5D9B"/>
    <w:pPr>
      <w:ind w:firstLine="0"/>
    </w:pPr>
  </w:style>
  <w:style w:type="paragraph" w:styleId="ListContinue5">
    <w:name w:val="List Continue 5"/>
    <w:basedOn w:val="List5"/>
    <w:rsid w:val="009B5D9B"/>
    <w:pPr>
      <w:ind w:firstLine="0"/>
    </w:pPr>
  </w:style>
  <w:style w:type="paragraph" w:styleId="ListNumber3">
    <w:name w:val="List Number 3"/>
    <w:basedOn w:val="List3"/>
    <w:rsid w:val="009B5D9B"/>
    <w:pPr>
      <w:numPr>
        <w:numId w:val="5"/>
      </w:numPr>
    </w:pPr>
  </w:style>
  <w:style w:type="paragraph" w:styleId="ListNumber4">
    <w:name w:val="List Number 4"/>
    <w:basedOn w:val="List4"/>
    <w:rsid w:val="009B5D9B"/>
    <w:pPr>
      <w:numPr>
        <w:numId w:val="6"/>
      </w:numPr>
    </w:pPr>
  </w:style>
  <w:style w:type="paragraph" w:styleId="ListNumber5">
    <w:name w:val="List Number 5"/>
    <w:basedOn w:val="List5"/>
    <w:rsid w:val="009B5D9B"/>
    <w:pPr>
      <w:numPr>
        <w:numId w:val="7"/>
      </w:numPr>
    </w:pPr>
  </w:style>
  <w:style w:type="paragraph" w:styleId="BlockText">
    <w:name w:val="Block Text"/>
    <w:basedOn w:val="Normal"/>
    <w:rsid w:val="009B5D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D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D9B"/>
    <w:rPr>
      <w:sz w:val="16"/>
      <w:vertAlign w:val="superscript"/>
    </w:rPr>
  </w:style>
  <w:style w:type="character" w:customStyle="1" w:styleId="Symbols">
    <w:name w:val="Symbols"/>
    <w:basedOn w:val="DefaultParagraphFont"/>
    <w:rsid w:val="009B5D9B"/>
    <w:rPr>
      <w:rFonts w:ascii="Symbol" w:hAnsi="Symbol"/>
    </w:rPr>
  </w:style>
  <w:style w:type="character" w:customStyle="1" w:styleId="MenuOptions">
    <w:name w:val="Menu Options"/>
    <w:basedOn w:val="DefaultParagraphFont"/>
    <w:rsid w:val="009B5D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D9B"/>
    <w:rPr>
      <w:b/>
    </w:rPr>
  </w:style>
  <w:style w:type="character" w:customStyle="1" w:styleId="Underlined">
    <w:name w:val="Underlined"/>
    <w:basedOn w:val="DefaultParagraphFont"/>
    <w:rsid w:val="009B5D9B"/>
    <w:rPr>
      <w:u w:val="single"/>
    </w:rPr>
  </w:style>
  <w:style w:type="paragraph" w:customStyle="1" w:styleId="TableBodyTextRight">
    <w:name w:val="Table Body Text Right"/>
    <w:basedOn w:val="TableBodyText"/>
    <w:rsid w:val="009B5D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D9B"/>
    <w:rPr>
      <w:sz w:val="18"/>
    </w:rPr>
  </w:style>
  <w:style w:type="paragraph" w:customStyle="1" w:styleId="BodySmallRight">
    <w:name w:val="Body Small Right"/>
    <w:basedOn w:val="BodyTextRight"/>
    <w:rsid w:val="009B5D9B"/>
    <w:rPr>
      <w:sz w:val="18"/>
      <w:szCs w:val="18"/>
    </w:rPr>
  </w:style>
  <w:style w:type="paragraph" w:customStyle="1" w:styleId="MarginEdition">
    <w:name w:val="Margin Edition"/>
    <w:basedOn w:val="MarginNote"/>
    <w:rsid w:val="009B5D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D9B"/>
    <w:rPr>
      <w:sz w:val="2"/>
      <w:szCs w:val="2"/>
    </w:rPr>
  </w:style>
  <w:style w:type="character" w:customStyle="1" w:styleId="Small">
    <w:name w:val="Small"/>
    <w:basedOn w:val="DefaultParagraphFont"/>
    <w:rsid w:val="009B5D9B"/>
    <w:rPr>
      <w:sz w:val="16"/>
    </w:rPr>
  </w:style>
  <w:style w:type="paragraph" w:customStyle="1" w:styleId="WideTable">
    <w:name w:val="Wide Table"/>
    <w:basedOn w:val="Normal"/>
    <w:rsid w:val="009B5D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D9B"/>
  </w:style>
  <w:style w:type="paragraph" w:styleId="Quote">
    <w:name w:val="Quote"/>
    <w:basedOn w:val="Heading1"/>
    <w:link w:val="QuoteChar"/>
    <w:qFormat/>
    <w:rsid w:val="009B5D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D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D9B"/>
    <w:pPr>
      <w:pageBreakBefore/>
    </w:pPr>
  </w:style>
  <w:style w:type="paragraph" w:customStyle="1" w:styleId="Border">
    <w:name w:val="Border"/>
    <w:basedOn w:val="Normal"/>
    <w:qFormat/>
    <w:rsid w:val="009B5D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D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D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D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5D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D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D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D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D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D9B"/>
    <w:rPr>
      <w:u w:val="single"/>
    </w:rPr>
  </w:style>
  <w:style w:type="character" w:customStyle="1" w:styleId="BoldandItalics">
    <w:name w:val="Bold and Italics"/>
    <w:qFormat/>
    <w:rsid w:val="009B5D9B"/>
    <w:rPr>
      <w:b/>
      <w:i/>
      <w:u w:val="none"/>
    </w:rPr>
  </w:style>
  <w:style w:type="paragraph" w:styleId="BalloonText">
    <w:name w:val="Balloon Text"/>
    <w:basedOn w:val="Normal"/>
    <w:link w:val="BalloonTextChar"/>
    <w:rsid w:val="009B5D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D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5D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D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5D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5D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5D9B"/>
    <w:pPr>
      <w:spacing w:before="0" w:after="0"/>
    </w:pPr>
  </w:style>
  <w:style w:type="paragraph" w:customStyle="1" w:styleId="BodyTextBold">
    <w:name w:val="Body Text Bold"/>
    <w:basedOn w:val="BodyText"/>
    <w:qFormat/>
    <w:rsid w:val="009B5D9B"/>
    <w:rPr>
      <w:b/>
    </w:rPr>
  </w:style>
  <w:style w:type="character" w:styleId="Hyperlink">
    <w:name w:val="Hyperlink"/>
    <w:basedOn w:val="DefaultParagraphFont"/>
    <w:uiPriority w:val="99"/>
    <w:unhideWhenUsed/>
    <w:rsid w:val="002754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</Words>
  <Characters>2613</Characters>
  <Application>Microsoft Office Word</Application>
  <DocSecurity>0</DocSecurity>
  <Lines>72</Lines>
  <Paragraphs>51</Paragraphs>
  <ScaleCrop>false</ScaleCrop>
  <Company>Author-it Software Corporation Ltd.</Company>
  <LinksUpToDate>false</LinksUpToDate>
  <CharactersWithSpaces>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ICTBWN308 Work safely on live optical fibre installations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2024-12-17T22:25:00Z</dcterms:created>
  <dcterms:modified xsi:type="dcterms:W3CDTF">2024-12-17T22:25:00Z</dcterms:modified>
</cp:coreProperties>
</file>