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09B" w:rsidP="001C1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ICTAUT501 Manage robotic process automation</w:t>
      </w:r>
      <w:r>
        <w:fldChar w:fldCharType="end"/>
      </w:r>
    </w:p>
    <w:p w:rsidR="001C109B" w:rsidP="001C109B">
      <w:pPr>
        <w:pStyle w:val="Version"/>
        <w:sectPr w:rsidSect="009A3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301" w:rsidP="009A3301">
      <w:pPr>
        <w:pStyle w:val="SuperHeading"/>
      </w:pPr>
      <w:r w:rsidRPr="009A3301">
        <w:t>Assessment Requirements for ICTAUT501 Manage robotic process automation</w:t>
      </w:r>
    </w:p>
    <w:p w:rsidR="00000000" w:rsidRPr="009A3301" w:rsidP="009A3301">
      <w:pPr>
        <w:pStyle w:val="Heading1"/>
      </w:pPr>
      <w:bookmarkStart w:id="1" w:name="O_1219614"/>
      <w:bookmarkEnd w:id="1"/>
      <w:r w:rsidRPr="009A33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A3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1" w:rsidP="009A3301">
            <w:pPr>
              <w:pStyle w:val="BodyText"/>
            </w:pPr>
            <w:r w:rsidRPr="009A330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1">
            <w:pPr>
              <w:pStyle w:val="BodyText"/>
              <w:rPr>
                <w:lang w:val="en-NZ"/>
              </w:rPr>
            </w:pPr>
            <w:r w:rsidRPr="009A3301">
              <w:rPr>
                <w:rStyle w:val="SpecialBold"/>
              </w:rPr>
              <w:t>Comments</w:t>
            </w:r>
          </w:p>
        </w:tc>
      </w:tr>
      <w:tr w:rsidTr="009A3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1">
            <w:pPr>
              <w:pStyle w:val="BodyText"/>
              <w:rPr>
                <w:lang w:val="en-NZ"/>
              </w:rPr>
            </w:pPr>
            <w:r w:rsidRPr="009A330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1" w:rsidP="009A3301">
            <w:pPr>
              <w:pStyle w:val="BodyText"/>
            </w:pPr>
            <w:r w:rsidRPr="009A3301">
              <w:t>This version first released with the Information and Communications Technology Training Package Version 8.0.</w:t>
            </w:r>
          </w:p>
          <w:p w:rsidR="00000000" w:rsidRPr="009A3301" w:rsidP="009A3301">
            <w:pPr>
              <w:pStyle w:val="BodyText"/>
            </w:pPr>
            <w:r w:rsidRPr="009A3301">
              <w:t>Newly</w:t>
            </w:r>
            <w:r w:rsidRPr="009A3301">
              <w:t xml:space="preserve"> created unit of competency to address in-demand skills need</w:t>
            </w:r>
          </w:p>
        </w:tc>
      </w:tr>
    </w:tbl>
    <w:p w:rsidR="00000000" w:rsidRPr="009A3301" w:rsidP="009A3301">
      <w:pPr>
        <w:pStyle w:val="BodyText"/>
      </w:pPr>
    </w:p>
    <w:p w:rsidR="00000000" w:rsidRPr="009A3301" w:rsidP="009A3301">
      <w:pPr>
        <w:pStyle w:val="AllowPageBreak"/>
      </w:pPr>
    </w:p>
    <w:p w:rsidR="00000000" w:rsidRPr="009A3301" w:rsidP="009A3301">
      <w:pPr>
        <w:pStyle w:val="Heading1"/>
      </w:pPr>
      <w:bookmarkStart w:id="2" w:name="O_1219615"/>
      <w:bookmarkEnd w:id="2"/>
      <w:r w:rsidRPr="009A3301">
        <w:t>Performance Evidence</w:t>
      </w:r>
    </w:p>
    <w:p w:rsidR="00000000" w:rsidRPr="009A3301" w:rsidP="001C109B">
      <w:pPr>
        <w:pStyle w:val="BodyText"/>
      </w:pPr>
      <w:r w:rsidRPr="009A3301">
        <w:t>The candidate must demonstrate the ability to complete the tasks outlined in the elements, performance criteria and foundation skills of this unit, inclu</w:t>
      </w:r>
      <w:r w:rsidRPr="009A3301">
        <w:t>ding evidence of the ability to:</w:t>
      </w:r>
    </w:p>
    <w:p w:rsidR="00000000" w:rsidRPr="009A3301" w:rsidP="009A3301">
      <w:pPr>
        <w:pStyle w:val="ListBullet"/>
      </w:pPr>
      <w:r w:rsidRPr="009A3301">
        <w:t>implement at least one robotic process automation (RPA) software into at least one organisation or work area</w:t>
      </w:r>
    </w:p>
    <w:p w:rsidR="00000000" w:rsidRPr="009A3301" w:rsidP="009A3301">
      <w:pPr>
        <w:pStyle w:val="ListBullet"/>
      </w:pPr>
      <w:r w:rsidRPr="009A3301">
        <w:t>confirm RPA software functionality for at least two different organisational processes.</w:t>
      </w:r>
    </w:p>
    <w:p w:rsidR="00000000" w:rsidRPr="009A3301" w:rsidP="009A3301">
      <w:pPr>
        <w:pStyle w:val="BodyText"/>
      </w:pPr>
    </w:p>
    <w:p w:rsidR="00000000" w:rsidRPr="009A3301" w:rsidP="001C109B">
      <w:pPr>
        <w:pStyle w:val="BodyText"/>
      </w:pPr>
      <w:r w:rsidRPr="009A3301">
        <w:t>In the course of the above, the candidate must:</w:t>
      </w:r>
    </w:p>
    <w:p w:rsidR="00000000" w:rsidRPr="009A3301" w:rsidP="009A3301">
      <w:pPr>
        <w:pStyle w:val="ListBullet"/>
      </w:pPr>
      <w:r w:rsidRPr="009A3301">
        <w:t>select reliable sources of information to identify automation opportunities</w:t>
      </w:r>
    </w:p>
    <w:p w:rsidR="00000000" w:rsidRPr="009A3301" w:rsidP="009A3301">
      <w:pPr>
        <w:pStyle w:val="ListBullet"/>
      </w:pPr>
      <w:r w:rsidRPr="009A3301">
        <w:t>apply required organisational policies and procedures.</w:t>
      </w:r>
    </w:p>
    <w:p w:rsidR="00000000" w:rsidRPr="009A3301" w:rsidP="009A3301">
      <w:pPr>
        <w:pStyle w:val="AllowPageBreak"/>
      </w:pPr>
    </w:p>
    <w:p w:rsidR="00000000" w:rsidRPr="009A3301" w:rsidP="009A3301">
      <w:pPr>
        <w:pStyle w:val="Heading1"/>
      </w:pPr>
      <w:bookmarkStart w:id="3" w:name="O_1219616"/>
      <w:bookmarkEnd w:id="3"/>
      <w:r w:rsidRPr="009A3301">
        <w:t>Knowledge Evidence</w:t>
      </w:r>
    </w:p>
    <w:p w:rsidR="00000000" w:rsidRPr="009A3301" w:rsidP="001C109B">
      <w:pPr>
        <w:pStyle w:val="BodyText"/>
      </w:pPr>
      <w:r w:rsidRPr="009A3301">
        <w:t>The candidate must be able to demonstr</w:t>
      </w:r>
      <w:r w:rsidRPr="009A3301">
        <w:t>ate knowledge to complete the tasks outlined in the elements, performance criteria and foundation skills of this unit, including knowledge of:</w:t>
      </w:r>
    </w:p>
    <w:p w:rsidR="00000000" w:rsidRPr="009A3301" w:rsidP="009A3301">
      <w:pPr>
        <w:pStyle w:val="ListBullet"/>
      </w:pPr>
      <w:r w:rsidRPr="009A3301">
        <w:t>functions and features of RPA software, systems and components</w:t>
      </w:r>
    </w:p>
    <w:p w:rsidR="00000000" w:rsidRPr="009A3301" w:rsidP="009A3301">
      <w:pPr>
        <w:pStyle w:val="ListBullet"/>
      </w:pPr>
      <w:r w:rsidRPr="009A3301">
        <w:t>considerations when applying automation of cross-</w:t>
      </w:r>
      <w:r w:rsidRPr="009A3301">
        <w:t>department applications, including:</w:t>
      </w:r>
    </w:p>
    <w:p w:rsidR="00000000" w:rsidRPr="009A3301" w:rsidP="009A3301">
      <w:pPr>
        <w:pStyle w:val="ListBullet2"/>
      </w:pPr>
      <w:r w:rsidRPr="009A3301">
        <w:t>server configuration</w:t>
      </w:r>
    </w:p>
    <w:p w:rsidR="00000000" w:rsidRPr="009A3301" w:rsidP="009A3301">
      <w:pPr>
        <w:pStyle w:val="ListBullet2"/>
      </w:pPr>
      <w:r w:rsidRPr="009A3301">
        <w:t>cloud instance</w:t>
      </w:r>
    </w:p>
    <w:p w:rsidR="00000000" w:rsidRPr="009A3301" w:rsidP="009A3301">
      <w:pPr>
        <w:pStyle w:val="ListBullet2"/>
      </w:pPr>
      <w:r w:rsidRPr="009A3301">
        <w:t>virtual machines</w:t>
      </w:r>
    </w:p>
    <w:p w:rsidR="00000000" w:rsidRPr="009A3301" w:rsidP="009A3301">
      <w:pPr>
        <w:pStyle w:val="ListBullet2"/>
      </w:pPr>
      <w:r w:rsidRPr="009A3301">
        <w:t>compatibility matrix</w:t>
      </w:r>
    </w:p>
    <w:p w:rsidR="00000000" w:rsidRPr="009A3301" w:rsidP="009A3301">
      <w:pPr>
        <w:pStyle w:val="ListBullet"/>
      </w:pPr>
      <w:r w:rsidRPr="009A3301">
        <w:t>functions and features of authentication and prerequisites</w:t>
      </w:r>
    </w:p>
    <w:p w:rsidR="00000000" w:rsidRPr="009A3301" w:rsidP="009A3301">
      <w:pPr>
        <w:pStyle w:val="ListBullet"/>
      </w:pPr>
      <w:r w:rsidRPr="009A3301">
        <w:t>key types of web service integrations, including:</w:t>
      </w:r>
    </w:p>
    <w:p w:rsidR="00000000" w:rsidRPr="009A3301" w:rsidP="009A3301">
      <w:pPr>
        <w:pStyle w:val="ListBullet2"/>
      </w:pPr>
      <w:r w:rsidRPr="009A3301">
        <w:t>enterprise resource planning (ERP) systems</w:t>
      </w:r>
    </w:p>
    <w:p w:rsidR="00000000" w:rsidRPr="009A3301" w:rsidP="009A3301">
      <w:pPr>
        <w:pStyle w:val="ListBullet2"/>
      </w:pPr>
      <w:r w:rsidRPr="009A3301">
        <w:t>ecommerce platforms</w:t>
      </w:r>
    </w:p>
    <w:p w:rsidR="00000000" w:rsidRPr="009A3301" w:rsidP="009A3301">
      <w:pPr>
        <w:pStyle w:val="ListBullet2"/>
      </w:pPr>
      <w:r w:rsidRPr="009A3301">
        <w:t>customer relationship management (CRM) systems</w:t>
      </w:r>
    </w:p>
    <w:p w:rsidR="00000000" w:rsidRPr="009A3301" w:rsidP="009A3301">
      <w:pPr>
        <w:pStyle w:val="ListBullet"/>
      </w:pPr>
      <w:r w:rsidRPr="009A3301">
        <w:t>types of processes, activities and transactions that can be automated with RPA</w:t>
      </w:r>
    </w:p>
    <w:p w:rsidR="00000000" w:rsidRPr="009A3301" w:rsidP="009A3301">
      <w:pPr>
        <w:pStyle w:val="ListBullet"/>
      </w:pPr>
      <w:r w:rsidRPr="009A3301">
        <w:t>key industrial manufacturing tasks applicable for RPA, including:</w:t>
      </w:r>
    </w:p>
    <w:p w:rsidR="00000000" w:rsidRPr="009A3301" w:rsidP="009A3301">
      <w:pPr>
        <w:pStyle w:val="ListBullet2"/>
      </w:pPr>
      <w:r w:rsidRPr="009A3301">
        <w:t>machine tool tending</w:t>
      </w:r>
    </w:p>
    <w:p w:rsidR="00000000" w:rsidRPr="009A3301" w:rsidP="009A3301">
      <w:pPr>
        <w:pStyle w:val="ListBullet2"/>
      </w:pPr>
      <w:r w:rsidRPr="009A3301">
        <w:t>material handling and removal</w:t>
      </w:r>
    </w:p>
    <w:p w:rsidR="00000000" w:rsidRPr="009A3301" w:rsidP="009A3301">
      <w:pPr>
        <w:pStyle w:val="ListBullet2"/>
      </w:pPr>
      <w:r w:rsidRPr="009A3301">
        <w:t>welding and gas metal arc welding</w:t>
      </w:r>
    </w:p>
    <w:p w:rsidR="00000000" w:rsidRPr="009A3301" w:rsidP="009A3301">
      <w:pPr>
        <w:pStyle w:val="ListBullet2"/>
      </w:pPr>
      <w:r w:rsidRPr="009A3301">
        <w:t>assembly</w:t>
      </w:r>
    </w:p>
    <w:p w:rsidR="00000000" w:rsidRPr="009A3301" w:rsidP="009A3301">
      <w:pPr>
        <w:pStyle w:val="ListBullet"/>
      </w:pPr>
      <w:r w:rsidRPr="009A3301">
        <w:t>key organisational areas applicable for RPA, including:</w:t>
      </w:r>
    </w:p>
    <w:p w:rsidR="00000000" w:rsidRPr="009A3301" w:rsidP="009A3301">
      <w:pPr>
        <w:pStyle w:val="ListBullet2"/>
      </w:pPr>
      <w:r w:rsidRPr="009A3301">
        <w:t>inventory management</w:t>
      </w:r>
    </w:p>
    <w:p w:rsidR="00000000" w:rsidRPr="009A3301" w:rsidP="009A3301">
      <w:pPr>
        <w:pStyle w:val="ListBullet2"/>
      </w:pPr>
      <w:r w:rsidRPr="009A3301">
        <w:t>back office operations</w:t>
      </w:r>
    </w:p>
    <w:p w:rsidR="00000000" w:rsidRPr="009A3301" w:rsidP="009A3301">
      <w:pPr>
        <w:pStyle w:val="ListBullet2"/>
      </w:pPr>
      <w:r w:rsidRPr="009A3301">
        <w:t>CRM services</w:t>
      </w:r>
    </w:p>
    <w:p w:rsidR="00000000" w:rsidRPr="009A3301" w:rsidP="009A3301">
      <w:pPr>
        <w:pStyle w:val="ListBullet2"/>
      </w:pPr>
      <w:r w:rsidRPr="009A3301">
        <w:t>claim and invoice processing</w:t>
      </w:r>
    </w:p>
    <w:p w:rsidR="00000000" w:rsidRPr="009A3301" w:rsidP="009A3301">
      <w:pPr>
        <w:pStyle w:val="ListBullet"/>
      </w:pPr>
      <w:r w:rsidRPr="009A3301">
        <w:t>organisational policies and procedures and legislative requirements relating to work tasks.</w:t>
      </w:r>
    </w:p>
    <w:p w:rsidR="00000000" w:rsidRPr="009A3301" w:rsidP="009A3301">
      <w:pPr>
        <w:pStyle w:val="AllowPageBreak"/>
      </w:pPr>
    </w:p>
    <w:p w:rsidR="00000000" w:rsidRPr="009A3301" w:rsidP="009A3301">
      <w:pPr>
        <w:pStyle w:val="Heading1"/>
      </w:pPr>
      <w:bookmarkStart w:id="4" w:name="O_1219617"/>
      <w:bookmarkEnd w:id="4"/>
      <w:r w:rsidRPr="009A3301">
        <w:t>Assessment Conditions</w:t>
      </w:r>
    </w:p>
    <w:p w:rsidR="00000000" w:rsidRPr="009A3301" w:rsidP="001C109B">
      <w:pPr>
        <w:pStyle w:val="BodyText"/>
      </w:pPr>
      <w:r w:rsidRPr="009A3301">
        <w:t xml:space="preserve">Skills in this unit must be demonstrated in a workplace or simulated environment where the conditions are typical of those </w:t>
      </w:r>
      <w:r w:rsidRPr="009A3301">
        <w:t>in a working environment in this industry.</w:t>
      </w:r>
    </w:p>
    <w:p w:rsidR="00000000" w:rsidRPr="009A3301" w:rsidP="001C109B">
      <w:pPr>
        <w:pStyle w:val="BodyText"/>
      </w:pPr>
      <w:r w:rsidRPr="009A3301">
        <w:t>This includes access to:</w:t>
      </w:r>
    </w:p>
    <w:p w:rsidR="00000000" w:rsidRPr="009A3301" w:rsidP="009A3301">
      <w:pPr>
        <w:pStyle w:val="ListBullet"/>
      </w:pPr>
      <w:r w:rsidRPr="009A3301">
        <w:t>required RPA hardware, software, deployment components, equipment and tools as outlined in work brief</w:t>
      </w:r>
    </w:p>
    <w:p w:rsidR="00000000" w:rsidRPr="009A3301" w:rsidP="009A3301">
      <w:pPr>
        <w:pStyle w:val="ListBullet"/>
      </w:pPr>
      <w:r w:rsidRPr="009A3301">
        <w:t>opportunities for interaction with others</w:t>
      </w:r>
    </w:p>
    <w:p w:rsidR="00000000" w:rsidRPr="009A3301" w:rsidP="009A3301">
      <w:pPr>
        <w:pStyle w:val="ListBullet"/>
      </w:pPr>
      <w:r w:rsidRPr="009A3301">
        <w:t xml:space="preserve">work brief and organisational policies and </w:t>
      </w:r>
      <w:r w:rsidRPr="009A3301">
        <w:t>procedures required to demonstrate the performance evidence.</w:t>
      </w:r>
    </w:p>
    <w:p w:rsidR="00000000" w:rsidRPr="009A3301" w:rsidP="009A3301">
      <w:pPr>
        <w:pStyle w:val="BodyText"/>
      </w:pPr>
    </w:p>
    <w:p w:rsidR="00000000" w:rsidRPr="009A3301" w:rsidP="001C109B">
      <w:pPr>
        <w:pStyle w:val="BodyText"/>
      </w:pPr>
      <w:r w:rsidRPr="009A3301">
        <w:t>Assessors of this unit must satisfy the requirements for assessors in applicable vocational education and training legislation, frameworks and/or standards.</w:t>
      </w:r>
    </w:p>
    <w:p w:rsidR="00000000" w:rsidRPr="009A3301" w:rsidP="009A3301">
      <w:pPr>
        <w:pStyle w:val="Heading1"/>
      </w:pPr>
      <w:bookmarkStart w:id="5" w:name="O_1219620"/>
      <w:bookmarkEnd w:id="5"/>
      <w:r w:rsidRPr="009A3301">
        <w:t>Links</w:t>
      </w:r>
    </w:p>
    <w:p w:rsidR="00000000" w:rsidRPr="009A3301" w:rsidP="001C109B">
      <w:pPr>
        <w:pStyle w:val="BodyText"/>
      </w:pPr>
      <w:r w:rsidRPr="009A3301">
        <w:t>Companion Vo</w:t>
      </w:r>
      <w:r w:rsidRPr="009A3301">
        <w:t xml:space="preserve">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749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3301" w:rsidP="009A3301"/>
    <w:sectPr w:rsidSect="009A33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01" w:rsidRPr="001C109B" w:rsidP="001C1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9B" w:rsidP="009A3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109B" w:rsidP="009A3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C109B" w:rsidP="009A3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301" w:rsidRPr="001C109B" w:rsidP="001C1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9B" w:rsidRPr="002D2AF8" w:rsidP="009A3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ICTAUT501 Manage robotic process automation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C109B" w:rsidP="009A3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4C8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1EA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4D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301"/>
  </w:style>
  <w:style w:type="character" w:customStyle="1" w:styleId="Heading1Char">
    <w:name w:val="Heading 1 Char"/>
    <w:basedOn w:val="DefaultParagraphFont"/>
    <w:link w:val="Heading1"/>
    <w:rsid w:val="009A3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3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301"/>
    <w:rPr>
      <w:b/>
      <w:spacing w:val="0"/>
    </w:rPr>
  </w:style>
  <w:style w:type="paragraph" w:styleId="ListBullet2">
    <w:name w:val="List Bullet 2"/>
    <w:basedOn w:val="List2"/>
    <w:rsid w:val="009A33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301"/>
    <w:rPr>
      <w:i/>
    </w:rPr>
  </w:style>
  <w:style w:type="paragraph" w:styleId="Caption">
    <w:name w:val="caption"/>
    <w:basedOn w:val="BodyText"/>
    <w:next w:val="Normal"/>
    <w:qFormat/>
    <w:rsid w:val="009A3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301"/>
  </w:style>
  <w:style w:type="paragraph" w:styleId="TableofFigures">
    <w:name w:val="table of figures"/>
    <w:basedOn w:val="Normal"/>
    <w:next w:val="Normal"/>
    <w:semiHidden/>
    <w:rsid w:val="009A3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3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301"/>
    <w:rPr>
      <w:rFonts w:ascii="Wingdings" w:hAnsi="Wingdings"/>
    </w:rPr>
  </w:style>
  <w:style w:type="paragraph" w:customStyle="1" w:styleId="TableHeading">
    <w:name w:val="Table Heading"/>
    <w:basedOn w:val="HeadingBase"/>
    <w:rsid w:val="009A3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301"/>
    <w:rPr>
      <w:color w:val="0033CC"/>
      <w:u w:val="none"/>
    </w:rPr>
  </w:style>
  <w:style w:type="paragraph" w:customStyle="1" w:styleId="BodyTextRight">
    <w:name w:val="Body Text Right"/>
    <w:basedOn w:val="BodyText"/>
    <w:rsid w:val="009A3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3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301"/>
    <w:rPr>
      <w:sz w:val="32"/>
    </w:rPr>
  </w:style>
  <w:style w:type="paragraph" w:customStyle="1" w:styleId="HeadingProcedure">
    <w:name w:val="Heading Procedure"/>
    <w:basedOn w:val="HeadingBase"/>
    <w:next w:val="Normal"/>
    <w:rsid w:val="009A3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301"/>
    <w:pPr>
      <w:spacing w:before="60" w:after="60"/>
    </w:pPr>
  </w:style>
  <w:style w:type="paragraph" w:styleId="ListContinue">
    <w:name w:val="List Continue"/>
    <w:basedOn w:val="List"/>
    <w:rsid w:val="009A3301"/>
    <w:pPr>
      <w:ind w:firstLine="0"/>
    </w:pPr>
  </w:style>
  <w:style w:type="paragraph" w:customStyle="1" w:styleId="ListNote">
    <w:name w:val="List Note"/>
    <w:basedOn w:val="List"/>
    <w:rsid w:val="009A3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301"/>
    <w:rPr>
      <w:rFonts w:ascii="Courier New" w:hAnsi="Courier New"/>
    </w:rPr>
  </w:style>
  <w:style w:type="paragraph" w:customStyle="1" w:styleId="NoteBullet">
    <w:name w:val="Note Bullet"/>
    <w:basedOn w:val="Note"/>
    <w:rsid w:val="009A3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3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301"/>
    <w:rPr>
      <w:b/>
      <w:smallCaps/>
    </w:rPr>
  </w:style>
  <w:style w:type="paragraph" w:customStyle="1" w:styleId="TableListNumber">
    <w:name w:val="Table List Number"/>
    <w:basedOn w:val="ListNumber"/>
    <w:rsid w:val="009A3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301"/>
    <w:pPr>
      <w:numPr>
        <w:numId w:val="9"/>
      </w:numPr>
    </w:pPr>
  </w:style>
  <w:style w:type="paragraph" w:customStyle="1" w:styleId="ListAlpha2">
    <w:name w:val="List Alpha 2"/>
    <w:basedOn w:val="List2"/>
    <w:rsid w:val="009A3301"/>
    <w:pPr>
      <w:numPr>
        <w:numId w:val="8"/>
      </w:numPr>
    </w:pPr>
  </w:style>
  <w:style w:type="paragraph" w:styleId="List2">
    <w:name w:val="List 2"/>
    <w:basedOn w:val="BodyText"/>
    <w:rsid w:val="009A3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3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3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301"/>
    <w:pPr>
      <w:numPr>
        <w:numId w:val="4"/>
      </w:numPr>
    </w:pPr>
  </w:style>
  <w:style w:type="paragraph" w:styleId="ListContinue2">
    <w:name w:val="List Continue 2"/>
    <w:basedOn w:val="List2"/>
    <w:rsid w:val="009A3301"/>
    <w:pPr>
      <w:ind w:firstLine="0"/>
    </w:pPr>
  </w:style>
  <w:style w:type="paragraph" w:styleId="ListContinue3">
    <w:name w:val="List Continue 3"/>
    <w:basedOn w:val="List3"/>
    <w:rsid w:val="009A3301"/>
    <w:pPr>
      <w:ind w:left="1021" w:firstLine="0"/>
    </w:pPr>
  </w:style>
  <w:style w:type="paragraph" w:styleId="ListContinue4">
    <w:name w:val="List Continue 4"/>
    <w:basedOn w:val="List4"/>
    <w:rsid w:val="009A3301"/>
    <w:pPr>
      <w:ind w:firstLine="0"/>
    </w:pPr>
  </w:style>
  <w:style w:type="paragraph" w:styleId="ListContinue5">
    <w:name w:val="List Continue 5"/>
    <w:basedOn w:val="List5"/>
    <w:rsid w:val="009A3301"/>
    <w:pPr>
      <w:ind w:firstLine="0"/>
    </w:pPr>
  </w:style>
  <w:style w:type="paragraph" w:styleId="ListNumber3">
    <w:name w:val="List Number 3"/>
    <w:basedOn w:val="List3"/>
    <w:rsid w:val="009A3301"/>
    <w:pPr>
      <w:numPr>
        <w:numId w:val="5"/>
      </w:numPr>
    </w:pPr>
  </w:style>
  <w:style w:type="paragraph" w:styleId="ListNumber4">
    <w:name w:val="List Number 4"/>
    <w:basedOn w:val="List4"/>
    <w:rsid w:val="009A3301"/>
    <w:pPr>
      <w:numPr>
        <w:numId w:val="6"/>
      </w:numPr>
    </w:pPr>
  </w:style>
  <w:style w:type="paragraph" w:styleId="ListNumber5">
    <w:name w:val="List Number 5"/>
    <w:basedOn w:val="List5"/>
    <w:rsid w:val="009A3301"/>
    <w:pPr>
      <w:numPr>
        <w:numId w:val="7"/>
      </w:numPr>
    </w:pPr>
  </w:style>
  <w:style w:type="paragraph" w:styleId="BlockText">
    <w:name w:val="Block Text"/>
    <w:basedOn w:val="Normal"/>
    <w:rsid w:val="009A3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301"/>
    <w:rPr>
      <w:sz w:val="16"/>
      <w:vertAlign w:val="superscript"/>
    </w:rPr>
  </w:style>
  <w:style w:type="character" w:customStyle="1" w:styleId="Symbols">
    <w:name w:val="Symbols"/>
    <w:basedOn w:val="DefaultParagraphFont"/>
    <w:rsid w:val="009A3301"/>
    <w:rPr>
      <w:rFonts w:ascii="Symbol" w:hAnsi="Symbol"/>
    </w:rPr>
  </w:style>
  <w:style w:type="character" w:customStyle="1" w:styleId="MenuOptions">
    <w:name w:val="Menu Options"/>
    <w:basedOn w:val="DefaultParagraphFont"/>
    <w:rsid w:val="009A3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301"/>
    <w:rPr>
      <w:b/>
    </w:rPr>
  </w:style>
  <w:style w:type="character" w:customStyle="1" w:styleId="Underlined">
    <w:name w:val="Underlined"/>
    <w:basedOn w:val="DefaultParagraphFont"/>
    <w:rsid w:val="009A3301"/>
    <w:rPr>
      <w:u w:val="single"/>
    </w:rPr>
  </w:style>
  <w:style w:type="paragraph" w:customStyle="1" w:styleId="TableBodyTextRight">
    <w:name w:val="Table Body Text Right"/>
    <w:basedOn w:val="TableBodyText"/>
    <w:rsid w:val="009A3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301"/>
    <w:rPr>
      <w:sz w:val="18"/>
    </w:rPr>
  </w:style>
  <w:style w:type="paragraph" w:customStyle="1" w:styleId="BodySmallRight">
    <w:name w:val="Body Small Right"/>
    <w:basedOn w:val="BodyTextRight"/>
    <w:rsid w:val="009A3301"/>
    <w:rPr>
      <w:sz w:val="18"/>
      <w:szCs w:val="18"/>
    </w:rPr>
  </w:style>
  <w:style w:type="paragraph" w:customStyle="1" w:styleId="MarginEdition">
    <w:name w:val="Margin Edition"/>
    <w:basedOn w:val="MarginNote"/>
    <w:rsid w:val="009A3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301"/>
    <w:rPr>
      <w:sz w:val="2"/>
      <w:szCs w:val="2"/>
    </w:rPr>
  </w:style>
  <w:style w:type="character" w:customStyle="1" w:styleId="Small">
    <w:name w:val="Small"/>
    <w:basedOn w:val="DefaultParagraphFont"/>
    <w:rsid w:val="009A3301"/>
    <w:rPr>
      <w:sz w:val="16"/>
    </w:rPr>
  </w:style>
  <w:style w:type="paragraph" w:customStyle="1" w:styleId="WideTable">
    <w:name w:val="Wide Table"/>
    <w:basedOn w:val="Normal"/>
    <w:rsid w:val="009A3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301"/>
  </w:style>
  <w:style w:type="paragraph" w:styleId="Quote">
    <w:name w:val="Quote"/>
    <w:basedOn w:val="Heading1"/>
    <w:link w:val="QuoteChar"/>
    <w:qFormat/>
    <w:rsid w:val="009A3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301"/>
    <w:pPr>
      <w:pageBreakBefore/>
    </w:pPr>
  </w:style>
  <w:style w:type="paragraph" w:customStyle="1" w:styleId="Border">
    <w:name w:val="Border"/>
    <w:basedOn w:val="Normal"/>
    <w:qFormat/>
    <w:rsid w:val="009A3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301"/>
    <w:rPr>
      <w:u w:val="single"/>
    </w:rPr>
  </w:style>
  <w:style w:type="character" w:customStyle="1" w:styleId="BoldandItalics">
    <w:name w:val="Bold and Italics"/>
    <w:qFormat/>
    <w:rsid w:val="009A3301"/>
    <w:rPr>
      <w:b/>
      <w:i/>
      <w:u w:val="none"/>
    </w:rPr>
  </w:style>
  <w:style w:type="paragraph" w:styleId="BalloonText">
    <w:name w:val="Balloon Text"/>
    <w:basedOn w:val="Normal"/>
    <w:link w:val="BalloonTextChar"/>
    <w:rsid w:val="009A3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301"/>
    <w:pPr>
      <w:spacing w:before="0" w:after="0"/>
    </w:pPr>
  </w:style>
  <w:style w:type="paragraph" w:customStyle="1" w:styleId="BodyTextBold">
    <w:name w:val="Body Text Bold"/>
    <w:basedOn w:val="BodyText"/>
    <w:qFormat/>
    <w:rsid w:val="009A3301"/>
    <w:rPr>
      <w:b/>
    </w:rPr>
  </w:style>
  <w:style w:type="character" w:styleId="Hyperlink">
    <w:name w:val="Hyperlink"/>
    <w:basedOn w:val="DefaultParagraphFont"/>
    <w:uiPriority w:val="99"/>
    <w:unhideWhenUsed/>
    <w:rsid w:val="001C1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2635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ICTAUT501 Manage robotic process automation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