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0A01" w:rsidP="00E90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ICTAUT402 Apply robotic desktop automation</w:t>
      </w:r>
      <w:r>
        <w:fldChar w:fldCharType="end"/>
      </w:r>
    </w:p>
    <w:p w:rsidR="00E90A01" w:rsidP="00E90A01">
      <w:pPr>
        <w:pStyle w:val="Version"/>
        <w:sectPr w:rsidSect="008B2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0A3" w:rsidP="008B20A3">
      <w:pPr>
        <w:pStyle w:val="SuperHeading"/>
      </w:pPr>
      <w:r w:rsidRPr="008B20A3">
        <w:t>Assessment Requirements for ICTAUT402 Apply robotic desktop automation</w:t>
      </w:r>
    </w:p>
    <w:p w:rsidR="00000000" w:rsidRPr="008B20A3" w:rsidP="008B20A3">
      <w:pPr>
        <w:pStyle w:val="Heading1"/>
      </w:pPr>
      <w:bookmarkStart w:id="1" w:name="O_1219576"/>
      <w:bookmarkEnd w:id="1"/>
      <w:r w:rsidRPr="008B20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B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A3" w:rsidP="008B20A3">
            <w:pPr>
              <w:pStyle w:val="BodyText"/>
            </w:pPr>
            <w:r w:rsidRPr="008B20A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A3">
            <w:pPr>
              <w:pStyle w:val="BodyText"/>
              <w:rPr>
                <w:lang w:val="en-NZ"/>
              </w:rPr>
            </w:pPr>
            <w:r w:rsidRPr="008B20A3">
              <w:rPr>
                <w:rStyle w:val="SpecialBold"/>
              </w:rPr>
              <w:t>Comments</w:t>
            </w:r>
          </w:p>
        </w:tc>
      </w:tr>
      <w:tr w:rsidTr="008B2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0A3">
            <w:pPr>
              <w:pStyle w:val="BodyText"/>
              <w:rPr>
                <w:lang w:val="en-NZ"/>
              </w:rPr>
            </w:pPr>
            <w:r w:rsidRPr="008B20A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0A3" w:rsidP="008B20A3">
            <w:pPr>
              <w:pStyle w:val="BodyText"/>
            </w:pPr>
            <w:r w:rsidRPr="008B20A3">
              <w:t>This version first released with the Information and Communications Technology Training Package Version 8.0.</w:t>
            </w:r>
          </w:p>
          <w:p w:rsidR="00000000" w:rsidRPr="008B20A3" w:rsidP="008B20A3">
            <w:pPr>
              <w:pStyle w:val="BodyText"/>
            </w:pPr>
            <w:r w:rsidRPr="008B20A3">
              <w:t xml:space="preserve">Newly </w:t>
            </w:r>
            <w:r w:rsidRPr="008B20A3">
              <w:t>created unit of competency to address in-demand skills needs.</w:t>
            </w:r>
          </w:p>
        </w:tc>
      </w:tr>
    </w:tbl>
    <w:p w:rsidR="00000000" w:rsidRPr="008B20A3" w:rsidP="008B20A3">
      <w:pPr>
        <w:pStyle w:val="BodyText"/>
      </w:pPr>
    </w:p>
    <w:p w:rsidR="00000000" w:rsidRPr="008B20A3" w:rsidP="008B20A3">
      <w:pPr>
        <w:pStyle w:val="AllowPageBreak"/>
      </w:pPr>
    </w:p>
    <w:p w:rsidR="00000000" w:rsidRPr="008B20A3" w:rsidP="008B20A3">
      <w:pPr>
        <w:pStyle w:val="Heading1"/>
      </w:pPr>
      <w:bookmarkStart w:id="2" w:name="O_1219577"/>
      <w:bookmarkEnd w:id="2"/>
      <w:r w:rsidRPr="008B20A3">
        <w:t>Performance Evidence</w:t>
      </w:r>
    </w:p>
    <w:p w:rsidR="00000000" w:rsidRPr="008B20A3" w:rsidP="00E90A01">
      <w:pPr>
        <w:pStyle w:val="BodyText"/>
      </w:pPr>
      <w:r w:rsidRPr="008B20A3">
        <w:t>The candidate must demonstrate the ability to complete the tasks outlined in the elements, performance criteria and foundation skills of this unit, incl</w:t>
      </w:r>
      <w:r w:rsidRPr="008B20A3">
        <w:t>uding evidence of the ability to:</w:t>
      </w:r>
    </w:p>
    <w:p w:rsidR="00000000" w:rsidRPr="008B20A3" w:rsidP="008B20A3">
      <w:pPr>
        <w:pStyle w:val="ListBullet"/>
      </w:pPr>
      <w:r w:rsidRPr="008B20A3">
        <w:t>deploy at least two robotic desktop automation (RDA) software programs for a single server.</w:t>
      </w:r>
    </w:p>
    <w:p w:rsidR="00000000" w:rsidRPr="008B20A3" w:rsidP="008B20A3">
      <w:pPr>
        <w:pStyle w:val="BodyText"/>
      </w:pPr>
    </w:p>
    <w:p w:rsidR="00000000" w:rsidRPr="008B20A3" w:rsidP="00E90A01">
      <w:pPr>
        <w:pStyle w:val="BodyText"/>
      </w:pPr>
      <w:r w:rsidRPr="008B20A3">
        <w:t>In the course of the above, the candidate must:</w:t>
      </w:r>
    </w:p>
    <w:p w:rsidR="00000000" w:rsidRPr="008B20A3" w:rsidP="008B20A3">
      <w:pPr>
        <w:pStyle w:val="ListBullet"/>
      </w:pPr>
      <w:r w:rsidRPr="008B20A3">
        <w:t>distinguish between different types of RDA software in work environments</w:t>
      </w:r>
    </w:p>
    <w:p w:rsidR="00000000" w:rsidRPr="008B20A3" w:rsidP="008B20A3">
      <w:pPr>
        <w:pStyle w:val="ListBullet"/>
      </w:pPr>
      <w:r w:rsidRPr="008B20A3">
        <w:t>apply required organisational policies and procedures.</w:t>
      </w:r>
    </w:p>
    <w:p w:rsidR="00000000" w:rsidRPr="008B20A3" w:rsidP="008B20A3">
      <w:pPr>
        <w:pStyle w:val="AllowPageBreak"/>
      </w:pPr>
    </w:p>
    <w:p w:rsidR="00000000" w:rsidRPr="008B20A3" w:rsidP="008B20A3">
      <w:pPr>
        <w:pStyle w:val="Heading1"/>
      </w:pPr>
      <w:bookmarkStart w:id="3" w:name="O_1219578"/>
      <w:bookmarkEnd w:id="3"/>
      <w:r w:rsidRPr="008B20A3">
        <w:t>Knowledge Evidence</w:t>
      </w:r>
    </w:p>
    <w:p w:rsidR="00000000" w:rsidRPr="008B20A3" w:rsidP="00E90A01">
      <w:pPr>
        <w:pStyle w:val="BodyText"/>
      </w:pPr>
      <w:r w:rsidRPr="008B20A3">
        <w:t>The candidate must be able to demonstrate knowledge to complete the tasks outlined in the elements, performance criteria and foundation skills of this unit, includ</w:t>
      </w:r>
      <w:r w:rsidRPr="008B20A3">
        <w:t>ing knowledge of:</w:t>
      </w:r>
    </w:p>
    <w:p w:rsidR="00000000" w:rsidRPr="008B20A3" w:rsidP="008B20A3">
      <w:pPr>
        <w:pStyle w:val="ListBullet"/>
      </w:pPr>
      <w:r w:rsidRPr="008B20A3">
        <w:t>key functions and features of RDA software and systems</w:t>
      </w:r>
    </w:p>
    <w:p w:rsidR="00000000" w:rsidRPr="008B20A3" w:rsidP="008B20A3">
      <w:pPr>
        <w:pStyle w:val="ListBullet"/>
      </w:pPr>
      <w:r w:rsidRPr="008B20A3">
        <w:t>key types, operations and processes of robotic automation and components</w:t>
      </w:r>
    </w:p>
    <w:p w:rsidR="00000000" w:rsidRPr="008B20A3" w:rsidP="008B20A3">
      <w:pPr>
        <w:pStyle w:val="ListBullet"/>
      </w:pPr>
      <w:r w:rsidRPr="008B20A3">
        <w:t>key considerations when implementing RDA into daily activities, operations and processes</w:t>
      </w:r>
    </w:p>
    <w:p w:rsidR="00000000" w:rsidRPr="008B20A3" w:rsidP="008B20A3">
      <w:pPr>
        <w:pStyle w:val="ListBullet"/>
      </w:pPr>
      <w:r w:rsidRPr="008B20A3">
        <w:t>types of installatio</w:t>
      </w:r>
      <w:r w:rsidRPr="008B20A3">
        <w:t>n methods and components, including:</w:t>
      </w:r>
    </w:p>
    <w:p w:rsidR="00000000" w:rsidRPr="008B20A3" w:rsidP="008B20A3">
      <w:pPr>
        <w:pStyle w:val="ListBullet2"/>
      </w:pPr>
      <w:r w:rsidRPr="008B20A3">
        <w:t>server configuration</w:t>
      </w:r>
    </w:p>
    <w:p w:rsidR="00000000" w:rsidRPr="008B20A3" w:rsidP="008B20A3">
      <w:pPr>
        <w:pStyle w:val="ListBullet2"/>
      </w:pPr>
      <w:r w:rsidRPr="008B20A3">
        <w:t>cloud instance</w:t>
      </w:r>
    </w:p>
    <w:p w:rsidR="00000000" w:rsidRPr="008B20A3" w:rsidP="008B20A3">
      <w:pPr>
        <w:pStyle w:val="ListBullet2"/>
      </w:pPr>
      <w:r w:rsidRPr="008B20A3">
        <w:t>virtual machine</w:t>
      </w:r>
    </w:p>
    <w:p w:rsidR="00000000" w:rsidRPr="008B20A3" w:rsidP="008B20A3">
      <w:pPr>
        <w:pStyle w:val="ListBullet2"/>
      </w:pPr>
      <w:r w:rsidRPr="008B20A3">
        <w:t>compatibility matrices</w:t>
      </w:r>
    </w:p>
    <w:p w:rsidR="00000000" w:rsidRPr="008B20A3" w:rsidP="008B20A3">
      <w:pPr>
        <w:pStyle w:val="ListBullet"/>
      </w:pPr>
      <w:r w:rsidRPr="008B20A3">
        <w:t>industry-recognised methods for configuring single server authentication</w:t>
      </w:r>
    </w:p>
    <w:p w:rsidR="00000000" w:rsidRPr="008B20A3" w:rsidP="008B20A3">
      <w:pPr>
        <w:pStyle w:val="ListBullet"/>
      </w:pPr>
      <w:r w:rsidRPr="008B20A3">
        <w:t>types of web service integrations, including:</w:t>
      </w:r>
    </w:p>
    <w:p w:rsidR="00000000" w:rsidRPr="008B20A3" w:rsidP="008B20A3">
      <w:pPr>
        <w:pStyle w:val="ListBullet2"/>
      </w:pPr>
      <w:r w:rsidRPr="008B20A3">
        <w:t>enterprise resource planning (ERP) systems</w:t>
      </w:r>
    </w:p>
    <w:p w:rsidR="00000000" w:rsidRPr="008B20A3" w:rsidP="008B20A3">
      <w:pPr>
        <w:pStyle w:val="ListBullet2"/>
      </w:pPr>
      <w:r w:rsidRPr="008B20A3">
        <w:t>ecommerce platforms</w:t>
      </w:r>
    </w:p>
    <w:p w:rsidR="00000000" w:rsidRPr="008B20A3" w:rsidP="008B20A3">
      <w:pPr>
        <w:pStyle w:val="ListBullet2"/>
      </w:pPr>
      <w:r w:rsidRPr="008B20A3">
        <w:t>customer relationship management (CRM) systems</w:t>
      </w:r>
    </w:p>
    <w:p w:rsidR="00000000" w:rsidRPr="008B20A3" w:rsidP="008B20A3">
      <w:pPr>
        <w:pStyle w:val="ListBullet"/>
      </w:pPr>
      <w:r w:rsidRPr="008B20A3">
        <w:t>organisational areas and tasks applicable for hybrid RDA, including:</w:t>
      </w:r>
    </w:p>
    <w:p w:rsidR="00000000" w:rsidRPr="008B20A3" w:rsidP="008B20A3">
      <w:pPr>
        <w:pStyle w:val="ListBullet2"/>
      </w:pPr>
      <w:r w:rsidRPr="008B20A3">
        <w:t>billing, accounting and credit services</w:t>
      </w:r>
    </w:p>
    <w:p w:rsidR="00000000" w:rsidRPr="008B20A3" w:rsidP="008B20A3">
      <w:pPr>
        <w:pStyle w:val="ListBullet2"/>
      </w:pPr>
      <w:r w:rsidRPr="008B20A3">
        <w:t>reporting and file transformation</w:t>
      </w:r>
    </w:p>
    <w:p w:rsidR="00000000" w:rsidRPr="008B20A3" w:rsidP="008B20A3">
      <w:pPr>
        <w:pStyle w:val="ListBullet2"/>
      </w:pPr>
      <w:r w:rsidRPr="008B20A3">
        <w:t>c</w:t>
      </w:r>
      <w:r w:rsidRPr="008B20A3">
        <w:t>ustomer service</w:t>
      </w:r>
    </w:p>
    <w:p w:rsidR="00000000" w:rsidRPr="008B20A3" w:rsidP="008B20A3">
      <w:pPr>
        <w:pStyle w:val="ListBullet2"/>
      </w:pPr>
      <w:r w:rsidRPr="008B20A3">
        <w:t>call centres</w:t>
      </w:r>
    </w:p>
    <w:p w:rsidR="00000000" w:rsidRPr="008B20A3" w:rsidP="008B20A3">
      <w:pPr>
        <w:pStyle w:val="ListBullet2"/>
      </w:pPr>
      <w:r w:rsidRPr="008B20A3">
        <w:t>courier services</w:t>
      </w:r>
    </w:p>
    <w:p w:rsidR="00000000" w:rsidRPr="008B20A3" w:rsidP="008B20A3">
      <w:pPr>
        <w:pStyle w:val="ListBullet2"/>
      </w:pPr>
      <w:r w:rsidRPr="008B20A3">
        <w:t>human resources</w:t>
      </w:r>
    </w:p>
    <w:p w:rsidR="00000000" w:rsidRPr="008B20A3" w:rsidP="008B20A3">
      <w:pPr>
        <w:pStyle w:val="ListBullet2"/>
      </w:pPr>
      <w:r w:rsidRPr="008B20A3">
        <w:t>internal operations</w:t>
      </w:r>
    </w:p>
    <w:p w:rsidR="00000000" w:rsidRPr="008B20A3" w:rsidP="008B20A3">
      <w:pPr>
        <w:pStyle w:val="ListBullet"/>
      </w:pPr>
      <w:r w:rsidRPr="008B20A3">
        <w:t>organisational formats for documentation and reports</w:t>
      </w:r>
    </w:p>
    <w:p w:rsidR="00000000" w:rsidRPr="008B20A3" w:rsidP="008B20A3">
      <w:pPr>
        <w:pStyle w:val="ListBullet"/>
      </w:pPr>
      <w:r w:rsidRPr="008B20A3">
        <w:t>organisational policies and procedures, and legislative requirements relating to work tasks.</w:t>
      </w:r>
    </w:p>
    <w:p w:rsidR="00000000" w:rsidRPr="008B20A3" w:rsidP="008B20A3">
      <w:pPr>
        <w:pStyle w:val="AllowPageBreak"/>
      </w:pPr>
    </w:p>
    <w:p w:rsidR="00000000" w:rsidRPr="008B20A3" w:rsidP="008B20A3">
      <w:pPr>
        <w:pStyle w:val="Heading1"/>
      </w:pPr>
      <w:bookmarkStart w:id="4" w:name="O_1219579"/>
      <w:bookmarkEnd w:id="4"/>
      <w:r w:rsidRPr="008B20A3">
        <w:t>Assessment Conditions</w:t>
      </w:r>
    </w:p>
    <w:p w:rsidR="00000000" w:rsidRPr="008B20A3" w:rsidP="00E90A01">
      <w:pPr>
        <w:pStyle w:val="BodyText"/>
      </w:pPr>
      <w:r w:rsidRPr="008B20A3">
        <w:t>Skills in this unit must be demonstrated in a workplace or simulated environment where the conditions are typical of those in a working environment in this industry.</w:t>
      </w:r>
    </w:p>
    <w:p w:rsidR="00000000" w:rsidRPr="008B20A3" w:rsidP="00E90A01">
      <w:pPr>
        <w:pStyle w:val="BodyText"/>
      </w:pPr>
      <w:r w:rsidRPr="008B20A3">
        <w:t>This includes access to:</w:t>
      </w:r>
    </w:p>
    <w:p w:rsidR="00000000" w:rsidRPr="008B20A3" w:rsidP="008B20A3">
      <w:pPr>
        <w:pStyle w:val="ListBullet"/>
      </w:pPr>
      <w:r w:rsidRPr="008B20A3">
        <w:t>procedural processes where RDA may be impl</w:t>
      </w:r>
      <w:r w:rsidRPr="008B20A3">
        <w:t>emented</w:t>
      </w:r>
    </w:p>
    <w:p w:rsidR="00000000" w:rsidRPr="008B20A3" w:rsidP="008B20A3">
      <w:pPr>
        <w:pStyle w:val="ListBullet"/>
      </w:pPr>
      <w:r w:rsidRPr="008B20A3">
        <w:t>required automation and deployment components, equipment and tools</w:t>
      </w:r>
    </w:p>
    <w:p w:rsidR="00000000" w:rsidRPr="008B20A3" w:rsidP="008B20A3">
      <w:pPr>
        <w:pStyle w:val="ListBullet"/>
      </w:pPr>
      <w:r w:rsidRPr="008B20A3">
        <w:t>opportunities for interaction with others</w:t>
      </w:r>
    </w:p>
    <w:p w:rsidR="00000000" w:rsidRPr="008B20A3" w:rsidP="008B20A3">
      <w:pPr>
        <w:pStyle w:val="ListBullet"/>
      </w:pPr>
      <w:r w:rsidRPr="008B20A3">
        <w:t>work brief and organisational policies and procedures required to demonstrate the performance evidence.</w:t>
      </w:r>
    </w:p>
    <w:p w:rsidR="00000000" w:rsidRPr="008B20A3" w:rsidP="008B20A3">
      <w:pPr>
        <w:pStyle w:val="BodyText"/>
      </w:pPr>
    </w:p>
    <w:p w:rsidR="00000000" w:rsidRPr="008B20A3" w:rsidP="00E90A01">
      <w:pPr>
        <w:pStyle w:val="BodyText"/>
      </w:pPr>
      <w:r w:rsidRPr="008B20A3">
        <w:t>Assessors of this unit must satisf</w:t>
      </w:r>
      <w:r w:rsidRPr="008B20A3">
        <w:t>y the requirements for assessors in applicable vocational education and training legislation, frameworks and/or standards.</w:t>
      </w:r>
    </w:p>
    <w:p w:rsidR="00000000" w:rsidRPr="008B20A3" w:rsidP="008B20A3">
      <w:pPr>
        <w:pStyle w:val="Heading1"/>
      </w:pPr>
      <w:bookmarkStart w:id="5" w:name="O_1219582"/>
      <w:bookmarkEnd w:id="5"/>
      <w:r w:rsidRPr="008B20A3">
        <w:t>Links</w:t>
      </w:r>
    </w:p>
    <w:p w:rsidR="00000000" w:rsidRPr="008B20A3" w:rsidP="00E90A01">
      <w:pPr>
        <w:pStyle w:val="BodyText"/>
      </w:pPr>
      <w:r w:rsidRPr="008B20A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0B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20A3" w:rsidP="008B20A3"/>
    <w:sectPr w:rsidSect="008B20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A3" w:rsidRPr="00E90A01" w:rsidP="00E90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P="008B2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0A01" w:rsidP="008B2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0A01" w:rsidP="008B2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0A3" w:rsidRPr="00E90A01" w:rsidP="00E90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A01" w:rsidRPr="002D2AF8" w:rsidP="008B2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ICTAUT402 Apply robotic desktop automation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90A01" w:rsidP="008B2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A8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A5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0E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0A3"/>
  </w:style>
  <w:style w:type="character" w:customStyle="1" w:styleId="Heading1Char">
    <w:name w:val="Heading 1 Char"/>
    <w:basedOn w:val="DefaultParagraphFont"/>
    <w:link w:val="Heading1"/>
    <w:rsid w:val="008B2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0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0A3"/>
    <w:rPr>
      <w:b/>
      <w:spacing w:val="0"/>
    </w:rPr>
  </w:style>
  <w:style w:type="paragraph" w:styleId="ListBullet2">
    <w:name w:val="List Bullet 2"/>
    <w:basedOn w:val="List2"/>
    <w:rsid w:val="008B20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0A3"/>
    <w:rPr>
      <w:i/>
    </w:rPr>
  </w:style>
  <w:style w:type="paragraph" w:styleId="Caption">
    <w:name w:val="caption"/>
    <w:basedOn w:val="BodyText"/>
    <w:next w:val="Normal"/>
    <w:qFormat/>
    <w:rsid w:val="008B2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0A3"/>
  </w:style>
  <w:style w:type="paragraph" w:styleId="TableofFigures">
    <w:name w:val="table of figures"/>
    <w:basedOn w:val="Normal"/>
    <w:next w:val="Normal"/>
    <w:semiHidden/>
    <w:rsid w:val="008B2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0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0A3"/>
    <w:rPr>
      <w:rFonts w:ascii="Wingdings" w:hAnsi="Wingdings"/>
    </w:rPr>
  </w:style>
  <w:style w:type="paragraph" w:customStyle="1" w:styleId="TableHeading">
    <w:name w:val="Table Heading"/>
    <w:basedOn w:val="HeadingBase"/>
    <w:rsid w:val="008B2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0A3"/>
    <w:rPr>
      <w:color w:val="0033CC"/>
      <w:u w:val="none"/>
    </w:rPr>
  </w:style>
  <w:style w:type="paragraph" w:customStyle="1" w:styleId="BodyTextRight">
    <w:name w:val="Body Text Right"/>
    <w:basedOn w:val="BodyText"/>
    <w:rsid w:val="008B2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0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0A3"/>
    <w:rPr>
      <w:sz w:val="32"/>
    </w:rPr>
  </w:style>
  <w:style w:type="paragraph" w:customStyle="1" w:styleId="HeadingProcedure">
    <w:name w:val="Heading Procedure"/>
    <w:basedOn w:val="HeadingBase"/>
    <w:next w:val="Normal"/>
    <w:rsid w:val="008B2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0A3"/>
    <w:pPr>
      <w:spacing w:before="60" w:after="60"/>
    </w:pPr>
  </w:style>
  <w:style w:type="paragraph" w:styleId="ListContinue">
    <w:name w:val="List Continue"/>
    <w:basedOn w:val="List"/>
    <w:rsid w:val="008B20A3"/>
    <w:pPr>
      <w:ind w:firstLine="0"/>
    </w:pPr>
  </w:style>
  <w:style w:type="paragraph" w:customStyle="1" w:styleId="ListNote">
    <w:name w:val="List Note"/>
    <w:basedOn w:val="List"/>
    <w:rsid w:val="008B2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0A3"/>
    <w:rPr>
      <w:rFonts w:ascii="Courier New" w:hAnsi="Courier New"/>
    </w:rPr>
  </w:style>
  <w:style w:type="paragraph" w:customStyle="1" w:styleId="NoteBullet">
    <w:name w:val="Note Bullet"/>
    <w:basedOn w:val="Note"/>
    <w:rsid w:val="008B2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0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0A3"/>
    <w:rPr>
      <w:b/>
      <w:smallCaps/>
    </w:rPr>
  </w:style>
  <w:style w:type="paragraph" w:customStyle="1" w:styleId="TableListNumber">
    <w:name w:val="Table List Number"/>
    <w:basedOn w:val="ListNumber"/>
    <w:rsid w:val="008B2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0A3"/>
    <w:pPr>
      <w:numPr>
        <w:numId w:val="9"/>
      </w:numPr>
    </w:pPr>
  </w:style>
  <w:style w:type="paragraph" w:customStyle="1" w:styleId="ListAlpha2">
    <w:name w:val="List Alpha 2"/>
    <w:basedOn w:val="List2"/>
    <w:rsid w:val="008B20A3"/>
    <w:pPr>
      <w:numPr>
        <w:numId w:val="8"/>
      </w:numPr>
    </w:pPr>
  </w:style>
  <w:style w:type="paragraph" w:styleId="List2">
    <w:name w:val="List 2"/>
    <w:basedOn w:val="BodyText"/>
    <w:rsid w:val="008B2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0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0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0A3"/>
    <w:pPr>
      <w:numPr>
        <w:numId w:val="4"/>
      </w:numPr>
    </w:pPr>
  </w:style>
  <w:style w:type="paragraph" w:styleId="ListContinue2">
    <w:name w:val="List Continue 2"/>
    <w:basedOn w:val="List2"/>
    <w:rsid w:val="008B20A3"/>
    <w:pPr>
      <w:ind w:firstLine="0"/>
    </w:pPr>
  </w:style>
  <w:style w:type="paragraph" w:styleId="ListContinue3">
    <w:name w:val="List Continue 3"/>
    <w:basedOn w:val="List3"/>
    <w:rsid w:val="008B20A3"/>
    <w:pPr>
      <w:ind w:left="1021" w:firstLine="0"/>
    </w:pPr>
  </w:style>
  <w:style w:type="paragraph" w:styleId="ListContinue4">
    <w:name w:val="List Continue 4"/>
    <w:basedOn w:val="List4"/>
    <w:rsid w:val="008B20A3"/>
    <w:pPr>
      <w:ind w:firstLine="0"/>
    </w:pPr>
  </w:style>
  <w:style w:type="paragraph" w:styleId="ListContinue5">
    <w:name w:val="List Continue 5"/>
    <w:basedOn w:val="List5"/>
    <w:rsid w:val="008B20A3"/>
    <w:pPr>
      <w:ind w:firstLine="0"/>
    </w:pPr>
  </w:style>
  <w:style w:type="paragraph" w:styleId="ListNumber3">
    <w:name w:val="List Number 3"/>
    <w:basedOn w:val="List3"/>
    <w:rsid w:val="008B20A3"/>
    <w:pPr>
      <w:numPr>
        <w:numId w:val="5"/>
      </w:numPr>
    </w:pPr>
  </w:style>
  <w:style w:type="paragraph" w:styleId="ListNumber4">
    <w:name w:val="List Number 4"/>
    <w:basedOn w:val="List4"/>
    <w:rsid w:val="008B20A3"/>
    <w:pPr>
      <w:numPr>
        <w:numId w:val="6"/>
      </w:numPr>
    </w:pPr>
  </w:style>
  <w:style w:type="paragraph" w:styleId="ListNumber5">
    <w:name w:val="List Number 5"/>
    <w:basedOn w:val="List5"/>
    <w:rsid w:val="008B20A3"/>
    <w:pPr>
      <w:numPr>
        <w:numId w:val="7"/>
      </w:numPr>
    </w:pPr>
  </w:style>
  <w:style w:type="paragraph" w:styleId="BlockText">
    <w:name w:val="Block Text"/>
    <w:basedOn w:val="Normal"/>
    <w:rsid w:val="008B2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0A3"/>
    <w:rPr>
      <w:sz w:val="16"/>
      <w:vertAlign w:val="superscript"/>
    </w:rPr>
  </w:style>
  <w:style w:type="character" w:customStyle="1" w:styleId="Symbols">
    <w:name w:val="Symbols"/>
    <w:basedOn w:val="DefaultParagraphFont"/>
    <w:rsid w:val="008B20A3"/>
    <w:rPr>
      <w:rFonts w:ascii="Symbol" w:hAnsi="Symbol"/>
    </w:rPr>
  </w:style>
  <w:style w:type="character" w:customStyle="1" w:styleId="MenuOptions">
    <w:name w:val="Menu Options"/>
    <w:basedOn w:val="DefaultParagraphFont"/>
    <w:rsid w:val="008B2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0A3"/>
    <w:rPr>
      <w:b/>
    </w:rPr>
  </w:style>
  <w:style w:type="character" w:customStyle="1" w:styleId="Underlined">
    <w:name w:val="Underlined"/>
    <w:basedOn w:val="DefaultParagraphFont"/>
    <w:rsid w:val="008B20A3"/>
    <w:rPr>
      <w:u w:val="single"/>
    </w:rPr>
  </w:style>
  <w:style w:type="paragraph" w:customStyle="1" w:styleId="TableBodyTextRight">
    <w:name w:val="Table Body Text Right"/>
    <w:basedOn w:val="TableBodyText"/>
    <w:rsid w:val="008B2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0A3"/>
    <w:rPr>
      <w:sz w:val="18"/>
    </w:rPr>
  </w:style>
  <w:style w:type="paragraph" w:customStyle="1" w:styleId="BodySmallRight">
    <w:name w:val="Body Small Right"/>
    <w:basedOn w:val="BodyTextRight"/>
    <w:rsid w:val="008B20A3"/>
    <w:rPr>
      <w:sz w:val="18"/>
      <w:szCs w:val="18"/>
    </w:rPr>
  </w:style>
  <w:style w:type="paragraph" w:customStyle="1" w:styleId="MarginEdition">
    <w:name w:val="Margin Edition"/>
    <w:basedOn w:val="MarginNote"/>
    <w:rsid w:val="008B2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0A3"/>
    <w:rPr>
      <w:sz w:val="2"/>
      <w:szCs w:val="2"/>
    </w:rPr>
  </w:style>
  <w:style w:type="character" w:customStyle="1" w:styleId="Small">
    <w:name w:val="Small"/>
    <w:basedOn w:val="DefaultParagraphFont"/>
    <w:rsid w:val="008B20A3"/>
    <w:rPr>
      <w:sz w:val="16"/>
    </w:rPr>
  </w:style>
  <w:style w:type="paragraph" w:customStyle="1" w:styleId="WideTable">
    <w:name w:val="Wide Table"/>
    <w:basedOn w:val="Normal"/>
    <w:rsid w:val="008B2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0A3"/>
  </w:style>
  <w:style w:type="paragraph" w:styleId="Quote">
    <w:name w:val="Quote"/>
    <w:basedOn w:val="Heading1"/>
    <w:link w:val="QuoteChar"/>
    <w:qFormat/>
    <w:rsid w:val="008B2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0A3"/>
    <w:pPr>
      <w:pageBreakBefore/>
    </w:pPr>
  </w:style>
  <w:style w:type="paragraph" w:customStyle="1" w:styleId="Border">
    <w:name w:val="Border"/>
    <w:basedOn w:val="Normal"/>
    <w:qFormat/>
    <w:rsid w:val="008B2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0A3"/>
    <w:rPr>
      <w:u w:val="single"/>
    </w:rPr>
  </w:style>
  <w:style w:type="character" w:customStyle="1" w:styleId="BoldandItalics">
    <w:name w:val="Bold and Italics"/>
    <w:qFormat/>
    <w:rsid w:val="008B20A3"/>
    <w:rPr>
      <w:b/>
      <w:i/>
      <w:u w:val="none"/>
    </w:rPr>
  </w:style>
  <w:style w:type="paragraph" w:styleId="BalloonText">
    <w:name w:val="Balloon Text"/>
    <w:basedOn w:val="Normal"/>
    <w:link w:val="BalloonTextChar"/>
    <w:rsid w:val="008B2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0A3"/>
    <w:pPr>
      <w:spacing w:before="0" w:after="0"/>
    </w:pPr>
  </w:style>
  <w:style w:type="paragraph" w:customStyle="1" w:styleId="BodyTextBold">
    <w:name w:val="Body Text Bold"/>
    <w:basedOn w:val="BodyText"/>
    <w:qFormat/>
    <w:rsid w:val="008B20A3"/>
    <w:rPr>
      <w:b/>
    </w:rPr>
  </w:style>
  <w:style w:type="character" w:styleId="Hyperlink">
    <w:name w:val="Hyperlink"/>
    <w:basedOn w:val="DefaultParagraphFont"/>
    <w:uiPriority w:val="99"/>
    <w:unhideWhenUsed/>
    <w:rsid w:val="00E90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2589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ICTAUT402 Apply robotic desktop automation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