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58F" w:rsidP="006A3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ICTAUT401 Design business process automation solutions</w:t>
      </w:r>
      <w:r>
        <w:fldChar w:fldCharType="end"/>
      </w:r>
    </w:p>
    <w:p w:rsidR="006A358F" w:rsidP="006A358F">
      <w:pPr>
        <w:pStyle w:val="Version"/>
        <w:sectPr w:rsidSect="00DE2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A65" w:rsidP="00DE2A65">
      <w:pPr>
        <w:pStyle w:val="SuperHeading"/>
      </w:pPr>
      <w:r w:rsidRPr="00DE2A65">
        <w:t>Assessment Requirements for ICTAUT401 Design business process automation solutions</w:t>
      </w:r>
    </w:p>
    <w:p w:rsidR="00000000" w:rsidRPr="00DE2A65" w:rsidP="00DE2A65">
      <w:pPr>
        <w:pStyle w:val="Heading1"/>
      </w:pPr>
      <w:bookmarkStart w:id="1" w:name="O_1219557"/>
      <w:bookmarkEnd w:id="1"/>
      <w:r w:rsidRPr="00DE2A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E2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65" w:rsidP="00DE2A65">
            <w:pPr>
              <w:pStyle w:val="BodyText"/>
            </w:pPr>
            <w:r w:rsidRPr="00DE2A6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65">
            <w:pPr>
              <w:pStyle w:val="BodyText"/>
              <w:rPr>
                <w:lang w:val="en-NZ"/>
              </w:rPr>
            </w:pPr>
            <w:r w:rsidRPr="00DE2A65">
              <w:rPr>
                <w:rStyle w:val="SpecialBold"/>
              </w:rPr>
              <w:t>Comments</w:t>
            </w:r>
          </w:p>
        </w:tc>
      </w:tr>
      <w:tr w:rsidTr="00DE2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A65">
            <w:pPr>
              <w:pStyle w:val="BodyText"/>
              <w:rPr>
                <w:lang w:val="en-NZ"/>
              </w:rPr>
            </w:pPr>
            <w:r w:rsidRPr="00DE2A6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A65" w:rsidP="00DE2A65">
            <w:pPr>
              <w:pStyle w:val="BodyText"/>
            </w:pPr>
            <w:r w:rsidRPr="00DE2A65">
              <w:t>This version first released with the Information and Communications Technology Training Package Version 8.0.</w:t>
            </w:r>
          </w:p>
          <w:p w:rsidR="00000000" w:rsidRPr="00DE2A65" w:rsidP="00DE2A65">
            <w:pPr>
              <w:pStyle w:val="BodyText"/>
            </w:pPr>
            <w:r w:rsidRPr="00DE2A65">
              <w:t>Newly created unit of competency to address in-demand skills needs.</w:t>
            </w:r>
          </w:p>
        </w:tc>
      </w:tr>
    </w:tbl>
    <w:p w:rsidR="00000000" w:rsidRPr="00DE2A65" w:rsidP="00DE2A65">
      <w:pPr>
        <w:pStyle w:val="BodyText"/>
      </w:pPr>
    </w:p>
    <w:p w:rsidR="00000000" w:rsidRPr="00DE2A65" w:rsidP="00DE2A65">
      <w:pPr>
        <w:pStyle w:val="AllowPageBreak"/>
      </w:pPr>
    </w:p>
    <w:p w:rsidR="00000000" w:rsidRPr="00DE2A65" w:rsidP="00DE2A65">
      <w:pPr>
        <w:pStyle w:val="Heading1"/>
      </w:pPr>
      <w:bookmarkStart w:id="2" w:name="O_1219558"/>
      <w:bookmarkEnd w:id="2"/>
      <w:r w:rsidRPr="00DE2A65">
        <w:t>Performance Evidence</w:t>
      </w:r>
    </w:p>
    <w:p w:rsidR="00000000" w:rsidRPr="00DE2A65" w:rsidP="006A358F">
      <w:pPr>
        <w:pStyle w:val="BodyText"/>
      </w:pPr>
      <w:r w:rsidRPr="00DE2A65">
        <w:t>The candidate must demonstrate the ab</w:t>
      </w:r>
      <w:r w:rsidRPr="00DE2A65">
        <w:t>ility to complete the tasks outlined in the elements, performance criteria and foundation skills of this unit, including evidence of the ability to:</w:t>
      </w:r>
    </w:p>
    <w:p w:rsidR="00000000" w:rsidRPr="00DE2A65" w:rsidP="00DE2A65">
      <w:pPr>
        <w:pStyle w:val="ListBullet"/>
      </w:pPr>
      <w:r w:rsidRPr="00DE2A65">
        <w:t>select and recommend at least one business process automation (BPA) solution to enhance organisational eff</w:t>
      </w:r>
      <w:r w:rsidRPr="00DE2A65">
        <w:t>iciency, where the work must include one of the following for each solution:</w:t>
      </w:r>
    </w:p>
    <w:p w:rsidR="00000000" w:rsidRPr="00DE2A65" w:rsidP="00DE2A65">
      <w:pPr>
        <w:pStyle w:val="ListBullet2"/>
      </w:pPr>
      <w:r w:rsidRPr="00DE2A65">
        <w:t>workflow automation plan</w:t>
      </w:r>
    </w:p>
    <w:p w:rsidR="00000000" w:rsidRPr="00DE2A65" w:rsidP="00DE2A65">
      <w:pPr>
        <w:pStyle w:val="ListBullet2"/>
      </w:pPr>
      <w:r w:rsidRPr="00DE2A65">
        <w:t>BPA strategy</w:t>
      </w:r>
    </w:p>
    <w:p w:rsidR="00000000" w:rsidRPr="00DE2A65" w:rsidP="00DE2A65">
      <w:pPr>
        <w:pStyle w:val="ListBullet2"/>
      </w:pPr>
      <w:r w:rsidRPr="00DE2A65">
        <w:t>BPA implementation guide.</w:t>
      </w:r>
    </w:p>
    <w:p w:rsidR="00000000" w:rsidRPr="00DE2A65" w:rsidP="00DE2A65">
      <w:pPr>
        <w:pStyle w:val="BodyText"/>
      </w:pPr>
    </w:p>
    <w:p w:rsidR="00000000" w:rsidRPr="00DE2A65" w:rsidP="006A358F">
      <w:pPr>
        <w:pStyle w:val="BodyText"/>
      </w:pPr>
      <w:r w:rsidRPr="00DE2A65">
        <w:t>In the course of the above, the candidate must:</w:t>
      </w:r>
    </w:p>
    <w:p w:rsidR="00000000" w:rsidRPr="00DE2A65" w:rsidP="00DE2A65">
      <w:pPr>
        <w:pStyle w:val="ListBullet"/>
      </w:pPr>
      <w:r w:rsidRPr="00DE2A65">
        <w:t>distinguish between different BPA solutions, components and strategies</w:t>
      </w:r>
    </w:p>
    <w:p w:rsidR="00000000" w:rsidRPr="00DE2A65" w:rsidP="00DE2A65">
      <w:pPr>
        <w:pStyle w:val="ListBullet"/>
      </w:pPr>
      <w:r w:rsidRPr="00DE2A65">
        <w:t>apply required organisational policies and procedures.</w:t>
      </w:r>
    </w:p>
    <w:p w:rsidR="00000000" w:rsidRPr="00DE2A65" w:rsidP="00DE2A65">
      <w:pPr>
        <w:pStyle w:val="AllowPageBreak"/>
      </w:pPr>
    </w:p>
    <w:p w:rsidR="00000000" w:rsidRPr="00DE2A65" w:rsidP="00DE2A65">
      <w:pPr>
        <w:pStyle w:val="Heading1"/>
      </w:pPr>
      <w:bookmarkStart w:id="3" w:name="O_1219559"/>
      <w:bookmarkEnd w:id="3"/>
      <w:r w:rsidRPr="00DE2A65">
        <w:t>Knowledge Evidence</w:t>
      </w:r>
    </w:p>
    <w:p w:rsidR="00000000" w:rsidRPr="00DE2A65" w:rsidP="006A358F">
      <w:pPr>
        <w:pStyle w:val="BodyText"/>
      </w:pPr>
      <w:r w:rsidRPr="00DE2A65">
        <w:t>The candidate must be able to demonstrate knowledge to complete the tasks outlined in the el</w:t>
      </w:r>
      <w:r w:rsidRPr="00DE2A65">
        <w:t>ements, performance criteria and foundation skills of this unit, including knowledge of:</w:t>
      </w:r>
    </w:p>
    <w:p w:rsidR="00000000" w:rsidRPr="00DE2A65" w:rsidP="00DE2A65">
      <w:pPr>
        <w:pStyle w:val="ListBullet"/>
      </w:pPr>
      <w:r w:rsidRPr="00DE2A65">
        <w:t>types and features of BPA solutions, including:</w:t>
      </w:r>
    </w:p>
    <w:p w:rsidR="00000000" w:rsidRPr="00DE2A65" w:rsidP="00DE2A65">
      <w:pPr>
        <w:pStyle w:val="ListBullet2"/>
      </w:pPr>
      <w:r w:rsidRPr="00DE2A65">
        <w:t>BPA components</w:t>
      </w:r>
    </w:p>
    <w:p w:rsidR="00000000" w:rsidRPr="00DE2A65" w:rsidP="00DE2A65">
      <w:pPr>
        <w:pStyle w:val="ListBullet2"/>
      </w:pPr>
      <w:r w:rsidRPr="00DE2A65">
        <w:t>BPA strategies</w:t>
      </w:r>
    </w:p>
    <w:p w:rsidR="00000000" w:rsidRPr="00DE2A65" w:rsidP="00DE2A65">
      <w:pPr>
        <w:pStyle w:val="ListBullet2"/>
      </w:pPr>
      <w:r w:rsidRPr="00DE2A65">
        <w:t>BPA systems</w:t>
      </w:r>
    </w:p>
    <w:p w:rsidR="00000000" w:rsidRPr="00DE2A65" w:rsidP="00DE2A65">
      <w:pPr>
        <w:pStyle w:val="ListBullet"/>
      </w:pPr>
      <w:r w:rsidRPr="00DE2A65">
        <w:t>advantages and disadvantages of BPA</w:t>
      </w:r>
    </w:p>
    <w:p w:rsidR="00000000" w:rsidRPr="00DE2A65" w:rsidP="00DE2A65">
      <w:pPr>
        <w:pStyle w:val="ListBullet"/>
      </w:pPr>
      <w:r w:rsidRPr="00DE2A65">
        <w:t>integration points for workflow automation systems and legacy systems</w:t>
      </w:r>
    </w:p>
    <w:p w:rsidR="00000000" w:rsidRPr="00DE2A65" w:rsidP="00DE2A65">
      <w:pPr>
        <w:pStyle w:val="ListBullet"/>
      </w:pPr>
      <w:r w:rsidRPr="00DE2A65">
        <w:t>functions and features of workflow automation software tools, including:</w:t>
      </w:r>
    </w:p>
    <w:p w:rsidR="00000000" w:rsidRPr="00DE2A65" w:rsidP="00DE2A65">
      <w:pPr>
        <w:pStyle w:val="ListBullet2"/>
      </w:pPr>
      <w:r w:rsidRPr="00DE2A65">
        <w:t>data connections</w:t>
      </w:r>
    </w:p>
    <w:p w:rsidR="00000000" w:rsidRPr="00DE2A65" w:rsidP="00DE2A65">
      <w:pPr>
        <w:pStyle w:val="ListBullet2"/>
      </w:pPr>
      <w:r w:rsidRPr="00DE2A65">
        <w:t>events</w:t>
      </w:r>
    </w:p>
    <w:p w:rsidR="00000000" w:rsidRPr="00DE2A65" w:rsidP="00DE2A65">
      <w:pPr>
        <w:pStyle w:val="ListBullet2"/>
      </w:pPr>
      <w:r w:rsidRPr="00DE2A65">
        <w:t>executes</w:t>
      </w:r>
    </w:p>
    <w:p w:rsidR="00000000" w:rsidRPr="00DE2A65" w:rsidP="00DE2A65">
      <w:pPr>
        <w:pStyle w:val="ListBullet2"/>
      </w:pPr>
      <w:r w:rsidRPr="00DE2A65">
        <w:t>inputs and outputs</w:t>
      </w:r>
    </w:p>
    <w:p w:rsidR="00000000" w:rsidRPr="00DE2A65" w:rsidP="00DE2A65">
      <w:pPr>
        <w:pStyle w:val="ListBullet2"/>
      </w:pPr>
      <w:r w:rsidRPr="00DE2A65">
        <w:t>formats</w:t>
      </w:r>
    </w:p>
    <w:p w:rsidR="00000000" w:rsidRPr="00DE2A65" w:rsidP="00DE2A65">
      <w:pPr>
        <w:pStyle w:val="ListBullet"/>
      </w:pPr>
      <w:r w:rsidRPr="00DE2A65">
        <w:t>workflow automation design considerations, includin</w:t>
      </w:r>
      <w:r w:rsidRPr="00DE2A65">
        <w:t>g:</w:t>
      </w:r>
    </w:p>
    <w:p w:rsidR="00000000" w:rsidRPr="00DE2A65" w:rsidP="00DE2A65">
      <w:pPr>
        <w:pStyle w:val="ListBullet2"/>
      </w:pPr>
      <w:r w:rsidRPr="00DE2A65">
        <w:t>commission sign-off</w:t>
      </w:r>
    </w:p>
    <w:p w:rsidR="00000000" w:rsidRPr="00DE2A65" w:rsidP="00DE2A65">
      <w:pPr>
        <w:pStyle w:val="ListBullet2"/>
      </w:pPr>
      <w:r w:rsidRPr="00DE2A65">
        <w:t>process mapping</w:t>
      </w:r>
    </w:p>
    <w:p w:rsidR="00000000" w:rsidRPr="00DE2A65" w:rsidP="00DE2A65">
      <w:pPr>
        <w:pStyle w:val="ListBullet2"/>
      </w:pPr>
      <w:r w:rsidRPr="00DE2A65">
        <w:t>service quote approvals</w:t>
      </w:r>
    </w:p>
    <w:p w:rsidR="00000000" w:rsidRPr="00DE2A65" w:rsidP="00DE2A65">
      <w:pPr>
        <w:pStyle w:val="ListBullet2"/>
      </w:pPr>
      <w:r w:rsidRPr="00DE2A65">
        <w:t>review procedures</w:t>
      </w:r>
    </w:p>
    <w:p w:rsidR="00000000" w:rsidRPr="00DE2A65" w:rsidP="00DE2A65">
      <w:pPr>
        <w:pStyle w:val="ListBullet2"/>
      </w:pPr>
      <w:r w:rsidRPr="00DE2A65">
        <w:t>leave request approvals</w:t>
      </w:r>
    </w:p>
    <w:p w:rsidR="00000000" w:rsidRPr="00DE2A65" w:rsidP="00DE2A65">
      <w:pPr>
        <w:pStyle w:val="ListBullet"/>
      </w:pPr>
      <w:r w:rsidRPr="00DE2A65">
        <w:t>common types of documents that may be automated in different workplace departments</w:t>
      </w:r>
    </w:p>
    <w:p w:rsidR="00000000" w:rsidRPr="00DE2A65" w:rsidP="00DE2A65">
      <w:pPr>
        <w:pStyle w:val="ListBullet"/>
      </w:pPr>
      <w:r w:rsidRPr="00DE2A65">
        <w:t>key organisational areas that are commonly automated, including:</w:t>
      </w:r>
    </w:p>
    <w:p w:rsidR="00000000" w:rsidRPr="00DE2A65" w:rsidP="00DE2A65">
      <w:pPr>
        <w:pStyle w:val="ListBullet2"/>
      </w:pPr>
      <w:r w:rsidRPr="00DE2A65">
        <w:t>inventory management</w:t>
      </w:r>
    </w:p>
    <w:p w:rsidR="00000000" w:rsidRPr="00DE2A65" w:rsidP="00DE2A65">
      <w:pPr>
        <w:pStyle w:val="ListBullet2"/>
      </w:pPr>
      <w:r w:rsidRPr="00DE2A65">
        <w:t>billing and credit services</w:t>
      </w:r>
    </w:p>
    <w:p w:rsidR="00000000" w:rsidRPr="00DE2A65" w:rsidP="00DE2A65">
      <w:pPr>
        <w:pStyle w:val="ListBullet2"/>
      </w:pPr>
      <w:r w:rsidRPr="00DE2A65">
        <w:t>courier services</w:t>
      </w:r>
    </w:p>
    <w:p w:rsidR="00000000" w:rsidRPr="00DE2A65" w:rsidP="00DE2A65">
      <w:pPr>
        <w:pStyle w:val="ListBullet2"/>
      </w:pPr>
      <w:r w:rsidRPr="00DE2A65">
        <w:t>human resources</w:t>
      </w:r>
    </w:p>
    <w:p w:rsidR="00000000" w:rsidRPr="00DE2A65" w:rsidP="00DE2A65">
      <w:pPr>
        <w:pStyle w:val="ListBullet2"/>
      </w:pPr>
      <w:r w:rsidRPr="00DE2A65">
        <w:t>internal operations</w:t>
      </w:r>
    </w:p>
    <w:p w:rsidR="00000000" w:rsidRPr="00DE2A65" w:rsidP="00DE2A65">
      <w:pPr>
        <w:pStyle w:val="ListBullet2"/>
      </w:pPr>
      <w:r w:rsidRPr="00DE2A65">
        <w:t>customer relationship management (CRM) services</w:t>
      </w:r>
    </w:p>
    <w:p w:rsidR="00000000" w:rsidRPr="00DE2A65" w:rsidP="00DE2A65">
      <w:pPr>
        <w:pStyle w:val="ListBullet"/>
      </w:pPr>
      <w:r w:rsidRPr="00DE2A65">
        <w:t>types of web service integrations, including:</w:t>
      </w:r>
    </w:p>
    <w:p w:rsidR="00000000" w:rsidRPr="00DE2A65" w:rsidP="00DE2A65">
      <w:pPr>
        <w:pStyle w:val="ListBullet2"/>
      </w:pPr>
      <w:r w:rsidRPr="00DE2A65">
        <w:t>enterprise resource planning (ERP) systems</w:t>
      </w:r>
    </w:p>
    <w:p w:rsidR="00000000" w:rsidRPr="00DE2A65" w:rsidP="00DE2A65">
      <w:pPr>
        <w:pStyle w:val="ListBullet2"/>
      </w:pPr>
      <w:r w:rsidRPr="00DE2A65">
        <w:t>ecommerce platf</w:t>
      </w:r>
      <w:r w:rsidRPr="00DE2A65">
        <w:t>orms</w:t>
      </w:r>
    </w:p>
    <w:p w:rsidR="00000000" w:rsidRPr="00DE2A65" w:rsidP="00DE2A65">
      <w:pPr>
        <w:pStyle w:val="ListBullet2"/>
      </w:pPr>
      <w:r w:rsidRPr="00DE2A65">
        <w:t>CRM systems maps</w:t>
      </w:r>
    </w:p>
    <w:p w:rsidR="00000000" w:rsidRPr="00DE2A65" w:rsidP="00DE2A65">
      <w:pPr>
        <w:pStyle w:val="ListBullet"/>
      </w:pPr>
      <w:r w:rsidRPr="00DE2A65">
        <w:t>organisational formats for documentation and reports</w:t>
      </w:r>
    </w:p>
    <w:p w:rsidR="00000000" w:rsidRPr="00DE2A65" w:rsidP="00DE2A65">
      <w:pPr>
        <w:pStyle w:val="ListBullet"/>
      </w:pPr>
      <w:r w:rsidRPr="00DE2A65">
        <w:t>organisational policies and procedures, and legislative requirements relating to work tasks.</w:t>
      </w:r>
    </w:p>
    <w:p w:rsidR="00000000" w:rsidRPr="00DE2A65" w:rsidP="00DE2A65">
      <w:pPr>
        <w:pStyle w:val="AllowPageBreak"/>
      </w:pPr>
    </w:p>
    <w:p w:rsidR="00000000" w:rsidRPr="00DE2A65" w:rsidP="00DE2A65">
      <w:pPr>
        <w:pStyle w:val="Heading1"/>
      </w:pPr>
      <w:bookmarkStart w:id="4" w:name="O_1219560"/>
      <w:bookmarkEnd w:id="4"/>
      <w:r w:rsidRPr="00DE2A65">
        <w:t>Assessment Conditions</w:t>
      </w:r>
    </w:p>
    <w:p w:rsidR="00000000" w:rsidRPr="00DE2A65" w:rsidP="006A358F">
      <w:pPr>
        <w:pStyle w:val="BodyText"/>
      </w:pPr>
      <w:r w:rsidRPr="00DE2A65">
        <w:t>Skills in this unit must be demonstrated in a workplace or simulated environment where the conditions are typical of those in a working environment in this industry.</w:t>
      </w:r>
    </w:p>
    <w:p w:rsidR="00000000" w:rsidRPr="00DE2A65" w:rsidP="006A358F">
      <w:pPr>
        <w:pStyle w:val="BodyText"/>
      </w:pPr>
      <w:r w:rsidRPr="00DE2A65">
        <w:t>This includes access to:</w:t>
      </w:r>
    </w:p>
    <w:p w:rsidR="00000000" w:rsidRPr="00DE2A65" w:rsidP="00DE2A65">
      <w:pPr>
        <w:pStyle w:val="ListBullet"/>
      </w:pPr>
      <w:r w:rsidRPr="00DE2A65">
        <w:t>BPA software, tools, and information</w:t>
      </w:r>
    </w:p>
    <w:p w:rsidR="00000000" w:rsidRPr="00DE2A65" w:rsidP="00DE2A65">
      <w:pPr>
        <w:pStyle w:val="ListBullet"/>
      </w:pPr>
      <w:r w:rsidRPr="00DE2A65">
        <w:t>opportunities for interacti</w:t>
      </w:r>
      <w:r w:rsidRPr="00DE2A65">
        <w:t>on with others</w:t>
      </w:r>
    </w:p>
    <w:p w:rsidR="00000000" w:rsidRPr="00DE2A65" w:rsidP="00DE2A65">
      <w:pPr>
        <w:pStyle w:val="ListBullet"/>
      </w:pPr>
      <w:r w:rsidRPr="00DE2A65">
        <w:t>work brief and organisational policies and procedures required to demonstrate the performance evidence.</w:t>
      </w:r>
    </w:p>
    <w:p w:rsidR="00000000" w:rsidRPr="00DE2A65" w:rsidP="00DE2A65">
      <w:pPr>
        <w:pStyle w:val="BodyText"/>
      </w:pPr>
    </w:p>
    <w:p w:rsidR="00000000" w:rsidRPr="00DE2A65" w:rsidP="006A358F">
      <w:pPr>
        <w:pStyle w:val="BodyText"/>
      </w:pPr>
      <w:r w:rsidRPr="00DE2A65">
        <w:t>Assessors of this unit must satisfy the requirements for assessors in applicable vocational education and training legislation, framewor</w:t>
      </w:r>
      <w:r w:rsidRPr="00DE2A65">
        <w:t>ks and/or standards.</w:t>
      </w:r>
    </w:p>
    <w:p w:rsidR="00000000" w:rsidRPr="00DE2A65" w:rsidP="00DE2A65">
      <w:pPr>
        <w:pStyle w:val="Heading1"/>
      </w:pPr>
      <w:bookmarkStart w:id="5" w:name="O_1219563"/>
      <w:bookmarkEnd w:id="5"/>
      <w:r w:rsidRPr="00DE2A65">
        <w:t>Links</w:t>
      </w:r>
    </w:p>
    <w:p w:rsidR="00000000" w:rsidRPr="00DE2A65" w:rsidP="006A358F">
      <w:pPr>
        <w:pStyle w:val="BodyText"/>
      </w:pPr>
      <w:r w:rsidRPr="00DE2A6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1C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2A65" w:rsidP="00DE2A65"/>
    <w:sectPr w:rsidSect="00DE2A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65" w:rsidRPr="006A358F" w:rsidP="006A3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58F" w:rsidP="00DE2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58F" w:rsidP="00DE2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358F" w:rsidP="00DE2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A65" w:rsidRPr="006A358F" w:rsidP="006A3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58F" w:rsidRPr="002D2AF8" w:rsidP="00DE2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ICTAUT401 Design business process automation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A358F" w:rsidP="00DE2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EA9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8CF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C60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A65"/>
  </w:style>
  <w:style w:type="character" w:customStyle="1" w:styleId="Heading1Char">
    <w:name w:val="Heading 1 Char"/>
    <w:basedOn w:val="DefaultParagraphFont"/>
    <w:link w:val="Heading1"/>
    <w:rsid w:val="00DE2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A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A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A65"/>
    <w:rPr>
      <w:b/>
      <w:spacing w:val="0"/>
    </w:rPr>
  </w:style>
  <w:style w:type="paragraph" w:styleId="ListBullet2">
    <w:name w:val="List Bullet 2"/>
    <w:basedOn w:val="List2"/>
    <w:rsid w:val="00DE2A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2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A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A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2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A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A65"/>
    <w:rPr>
      <w:i/>
    </w:rPr>
  </w:style>
  <w:style w:type="paragraph" w:styleId="Caption">
    <w:name w:val="caption"/>
    <w:basedOn w:val="BodyText"/>
    <w:next w:val="Normal"/>
    <w:qFormat/>
    <w:rsid w:val="00DE2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A65"/>
  </w:style>
  <w:style w:type="paragraph" w:styleId="TableofFigures">
    <w:name w:val="table of figures"/>
    <w:basedOn w:val="Normal"/>
    <w:next w:val="Normal"/>
    <w:semiHidden/>
    <w:rsid w:val="00DE2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A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2A65"/>
    <w:rPr>
      <w:rFonts w:ascii="Wingdings" w:hAnsi="Wingdings"/>
    </w:rPr>
  </w:style>
  <w:style w:type="paragraph" w:customStyle="1" w:styleId="TableHeading">
    <w:name w:val="Table Heading"/>
    <w:basedOn w:val="HeadingBase"/>
    <w:rsid w:val="00DE2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A65"/>
    <w:rPr>
      <w:color w:val="0033CC"/>
      <w:u w:val="none"/>
    </w:rPr>
  </w:style>
  <w:style w:type="paragraph" w:customStyle="1" w:styleId="BodyTextRight">
    <w:name w:val="Body Text Right"/>
    <w:basedOn w:val="BodyText"/>
    <w:rsid w:val="00DE2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A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A65"/>
    <w:rPr>
      <w:sz w:val="32"/>
    </w:rPr>
  </w:style>
  <w:style w:type="paragraph" w:customStyle="1" w:styleId="HeadingProcedure">
    <w:name w:val="Heading Procedure"/>
    <w:basedOn w:val="HeadingBase"/>
    <w:next w:val="Normal"/>
    <w:rsid w:val="00DE2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A65"/>
    <w:pPr>
      <w:spacing w:before="60" w:after="60"/>
    </w:pPr>
  </w:style>
  <w:style w:type="paragraph" w:styleId="ListContinue">
    <w:name w:val="List Continue"/>
    <w:basedOn w:val="List"/>
    <w:rsid w:val="00DE2A65"/>
    <w:pPr>
      <w:ind w:firstLine="0"/>
    </w:pPr>
  </w:style>
  <w:style w:type="paragraph" w:customStyle="1" w:styleId="ListNote">
    <w:name w:val="List Note"/>
    <w:basedOn w:val="List"/>
    <w:rsid w:val="00DE2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A65"/>
    <w:rPr>
      <w:rFonts w:ascii="Courier New" w:hAnsi="Courier New"/>
    </w:rPr>
  </w:style>
  <w:style w:type="paragraph" w:customStyle="1" w:styleId="NoteBullet">
    <w:name w:val="Note Bullet"/>
    <w:basedOn w:val="Note"/>
    <w:rsid w:val="00DE2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A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2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A65"/>
    <w:rPr>
      <w:b/>
      <w:smallCaps/>
    </w:rPr>
  </w:style>
  <w:style w:type="paragraph" w:customStyle="1" w:styleId="TableListNumber">
    <w:name w:val="Table List Number"/>
    <w:basedOn w:val="ListNumber"/>
    <w:rsid w:val="00DE2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A65"/>
    <w:pPr>
      <w:numPr>
        <w:numId w:val="9"/>
      </w:numPr>
    </w:pPr>
  </w:style>
  <w:style w:type="paragraph" w:customStyle="1" w:styleId="ListAlpha2">
    <w:name w:val="List Alpha 2"/>
    <w:basedOn w:val="List2"/>
    <w:rsid w:val="00DE2A65"/>
    <w:pPr>
      <w:numPr>
        <w:numId w:val="8"/>
      </w:numPr>
    </w:pPr>
  </w:style>
  <w:style w:type="paragraph" w:styleId="List2">
    <w:name w:val="List 2"/>
    <w:basedOn w:val="BodyText"/>
    <w:rsid w:val="00DE2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A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A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2A65"/>
    <w:pPr>
      <w:numPr>
        <w:numId w:val="4"/>
      </w:numPr>
    </w:pPr>
  </w:style>
  <w:style w:type="paragraph" w:styleId="ListContinue2">
    <w:name w:val="List Continue 2"/>
    <w:basedOn w:val="List2"/>
    <w:rsid w:val="00DE2A65"/>
    <w:pPr>
      <w:ind w:firstLine="0"/>
    </w:pPr>
  </w:style>
  <w:style w:type="paragraph" w:styleId="ListContinue3">
    <w:name w:val="List Continue 3"/>
    <w:basedOn w:val="List3"/>
    <w:rsid w:val="00DE2A65"/>
    <w:pPr>
      <w:ind w:left="1021" w:firstLine="0"/>
    </w:pPr>
  </w:style>
  <w:style w:type="paragraph" w:styleId="ListContinue4">
    <w:name w:val="List Continue 4"/>
    <w:basedOn w:val="List4"/>
    <w:rsid w:val="00DE2A65"/>
    <w:pPr>
      <w:ind w:firstLine="0"/>
    </w:pPr>
  </w:style>
  <w:style w:type="paragraph" w:styleId="ListContinue5">
    <w:name w:val="List Continue 5"/>
    <w:basedOn w:val="List5"/>
    <w:rsid w:val="00DE2A65"/>
    <w:pPr>
      <w:ind w:firstLine="0"/>
    </w:pPr>
  </w:style>
  <w:style w:type="paragraph" w:styleId="ListNumber3">
    <w:name w:val="List Number 3"/>
    <w:basedOn w:val="List3"/>
    <w:rsid w:val="00DE2A65"/>
    <w:pPr>
      <w:numPr>
        <w:numId w:val="5"/>
      </w:numPr>
    </w:pPr>
  </w:style>
  <w:style w:type="paragraph" w:styleId="ListNumber4">
    <w:name w:val="List Number 4"/>
    <w:basedOn w:val="List4"/>
    <w:rsid w:val="00DE2A65"/>
    <w:pPr>
      <w:numPr>
        <w:numId w:val="6"/>
      </w:numPr>
    </w:pPr>
  </w:style>
  <w:style w:type="paragraph" w:styleId="ListNumber5">
    <w:name w:val="List Number 5"/>
    <w:basedOn w:val="List5"/>
    <w:rsid w:val="00DE2A65"/>
    <w:pPr>
      <w:numPr>
        <w:numId w:val="7"/>
      </w:numPr>
    </w:pPr>
  </w:style>
  <w:style w:type="paragraph" w:styleId="BlockText">
    <w:name w:val="Block Text"/>
    <w:basedOn w:val="Normal"/>
    <w:rsid w:val="00DE2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A65"/>
    <w:rPr>
      <w:sz w:val="16"/>
      <w:vertAlign w:val="superscript"/>
    </w:rPr>
  </w:style>
  <w:style w:type="character" w:customStyle="1" w:styleId="Symbols">
    <w:name w:val="Symbols"/>
    <w:basedOn w:val="DefaultParagraphFont"/>
    <w:rsid w:val="00DE2A65"/>
    <w:rPr>
      <w:rFonts w:ascii="Symbol" w:hAnsi="Symbol"/>
    </w:rPr>
  </w:style>
  <w:style w:type="character" w:customStyle="1" w:styleId="MenuOptions">
    <w:name w:val="Menu Options"/>
    <w:basedOn w:val="DefaultParagraphFont"/>
    <w:rsid w:val="00DE2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A65"/>
    <w:rPr>
      <w:b/>
    </w:rPr>
  </w:style>
  <w:style w:type="character" w:customStyle="1" w:styleId="Underlined">
    <w:name w:val="Underlined"/>
    <w:basedOn w:val="DefaultParagraphFont"/>
    <w:rsid w:val="00DE2A65"/>
    <w:rPr>
      <w:u w:val="single"/>
    </w:rPr>
  </w:style>
  <w:style w:type="paragraph" w:customStyle="1" w:styleId="TableBodyTextRight">
    <w:name w:val="Table Body Text Right"/>
    <w:basedOn w:val="TableBodyText"/>
    <w:rsid w:val="00DE2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A65"/>
    <w:rPr>
      <w:sz w:val="18"/>
    </w:rPr>
  </w:style>
  <w:style w:type="paragraph" w:customStyle="1" w:styleId="BodySmallRight">
    <w:name w:val="Body Small Right"/>
    <w:basedOn w:val="BodyTextRight"/>
    <w:rsid w:val="00DE2A65"/>
    <w:rPr>
      <w:sz w:val="18"/>
      <w:szCs w:val="18"/>
    </w:rPr>
  </w:style>
  <w:style w:type="paragraph" w:customStyle="1" w:styleId="MarginEdition">
    <w:name w:val="Margin Edition"/>
    <w:basedOn w:val="MarginNote"/>
    <w:rsid w:val="00DE2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A65"/>
    <w:rPr>
      <w:sz w:val="2"/>
      <w:szCs w:val="2"/>
    </w:rPr>
  </w:style>
  <w:style w:type="character" w:customStyle="1" w:styleId="Small">
    <w:name w:val="Small"/>
    <w:basedOn w:val="DefaultParagraphFont"/>
    <w:rsid w:val="00DE2A65"/>
    <w:rPr>
      <w:sz w:val="16"/>
    </w:rPr>
  </w:style>
  <w:style w:type="paragraph" w:customStyle="1" w:styleId="WideTable">
    <w:name w:val="Wide Table"/>
    <w:basedOn w:val="Normal"/>
    <w:rsid w:val="00DE2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A65"/>
  </w:style>
  <w:style w:type="paragraph" w:styleId="Quote">
    <w:name w:val="Quote"/>
    <w:basedOn w:val="Heading1"/>
    <w:link w:val="QuoteChar"/>
    <w:qFormat/>
    <w:rsid w:val="00DE2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A65"/>
    <w:pPr>
      <w:pageBreakBefore/>
    </w:pPr>
  </w:style>
  <w:style w:type="paragraph" w:customStyle="1" w:styleId="Border">
    <w:name w:val="Border"/>
    <w:basedOn w:val="Normal"/>
    <w:qFormat/>
    <w:rsid w:val="00DE2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A65"/>
    <w:rPr>
      <w:u w:val="single"/>
    </w:rPr>
  </w:style>
  <w:style w:type="character" w:customStyle="1" w:styleId="BoldandItalics">
    <w:name w:val="Bold and Italics"/>
    <w:qFormat/>
    <w:rsid w:val="00DE2A65"/>
    <w:rPr>
      <w:b/>
      <w:i/>
      <w:u w:val="none"/>
    </w:rPr>
  </w:style>
  <w:style w:type="paragraph" w:styleId="BalloonText">
    <w:name w:val="Balloon Text"/>
    <w:basedOn w:val="Normal"/>
    <w:link w:val="BalloonTextChar"/>
    <w:rsid w:val="00DE2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A65"/>
    <w:pPr>
      <w:spacing w:before="0" w:after="0"/>
    </w:pPr>
  </w:style>
  <w:style w:type="paragraph" w:customStyle="1" w:styleId="BodyTextBold">
    <w:name w:val="Body Text Bold"/>
    <w:basedOn w:val="BodyText"/>
    <w:qFormat/>
    <w:rsid w:val="00DE2A65"/>
    <w:rPr>
      <w:b/>
    </w:rPr>
  </w:style>
  <w:style w:type="character" w:styleId="Hyperlink">
    <w:name w:val="Hyperlink"/>
    <w:basedOn w:val="DefaultParagraphFont"/>
    <w:uiPriority w:val="99"/>
    <w:unhideWhenUsed/>
    <w:rsid w:val="006A3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403</Words>
  <Characters>2766</Characters>
  <Application>Microsoft Office Word</Application>
  <DocSecurity>0</DocSecurity>
  <Lines>89</Lines>
  <Paragraphs>72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ICTAUT401 Design business process automation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