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DBC" w:rsidP="00B54DBC">
      <w:pPr>
        <w:pStyle w:val="Title"/>
      </w:pPr>
      <w:r>
        <w:fldChar w:fldCharType="begin"/>
      </w:r>
      <w:r>
        <w:instrText xml:space="preserve"> TITLE   \* MERGEFORMAT </w:instrText>
      </w:r>
      <w:r>
        <w:fldChar w:fldCharType="separate"/>
      </w:r>
      <w:r>
        <w:t>ICPPR284A Introduction to colour management</w:t>
      </w:r>
      <w:r>
        <w:fldChar w:fldCharType="end"/>
      </w:r>
    </w:p>
    <w:p w:rsidR="00B54DBC" w:rsidP="00B54DBC">
      <w:pPr>
        <w:pStyle w:val="Version"/>
        <w:sectPr w:rsidSect="00772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2B26" w:rsidP="00772B26">
      <w:pPr>
        <w:pStyle w:val="SuperHeading"/>
      </w:pPr>
      <w:r w:rsidRPr="00772B26">
        <w:t xml:space="preserve">ICPPR284A Introduction to colour management </w:t>
      </w:r>
    </w:p>
    <w:p w:rsidR="00000000" w:rsidRPr="00772B26" w:rsidP="00772B26">
      <w:pPr>
        <w:pStyle w:val="SuperHeading"/>
      </w:pPr>
    </w:p>
    <w:p w:rsidR="00000000" w:rsidRPr="00772B26" w:rsidP="00772B26">
      <w:pPr>
        <w:pStyle w:val="Heading1"/>
      </w:pPr>
      <w:bookmarkStart w:id="1" w:name="O_82995"/>
      <w:bookmarkEnd w:id="1"/>
      <w:r w:rsidRPr="00772B26">
        <w:t>Modification History</w:t>
      </w:r>
    </w:p>
    <w:p w:rsidR="00000000" w:rsidRPr="00772B26" w:rsidP="00772B26">
      <w:pPr>
        <w:pStyle w:val="BodyText"/>
      </w:pPr>
      <w:r w:rsidRPr="00772B26">
        <w:t>Not applicable.</w:t>
      </w:r>
    </w:p>
    <w:p w:rsidR="00000000" w:rsidRPr="00772B26" w:rsidP="00772B26">
      <w:pPr>
        <w:pStyle w:val="AllowPageBreak"/>
      </w:pPr>
    </w:p>
    <w:p w:rsidR="00000000" w:rsidRPr="00772B26" w:rsidP="00772B26">
      <w:pPr>
        <w:pStyle w:val="Heading1"/>
      </w:pPr>
      <w:bookmarkStart w:id="2" w:name="O_82996"/>
      <w:bookmarkEnd w:id="2"/>
      <w:r w:rsidRPr="00772B26">
        <w:t>Unit Descriptor</w:t>
      </w:r>
    </w:p>
    <w:tbl>
      <w:tblPr>
        <w:tblW w:w="0" w:type="auto"/>
        <w:tblLayout w:type="fixed"/>
        <w:tblCellMar>
          <w:left w:w="62" w:type="dxa"/>
          <w:right w:w="62" w:type="dxa"/>
        </w:tblCellMar>
        <w:tblLook w:val="0000"/>
      </w:tblPr>
      <w:tblGrid>
        <w:gridCol w:w="2669"/>
        <w:gridCol w:w="5853"/>
      </w:tblGrid>
      <w:tr w:rsidTr="00B54DB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This unit describes the performance outcomes, skills and knowledge required to identify and apply the fundam</w:t>
            </w:r>
            <w:r w:rsidRPr="00772B26">
              <w:t>ental theory of colour in the printing industry. This includes terminology, colour modes and the analysis of light and colour.</w:t>
            </w:r>
          </w:p>
          <w:p w:rsidR="00000000" w:rsidRPr="00772B26" w:rsidP="00772B26">
            <w:pPr>
              <w:pStyle w:val="BodyText"/>
            </w:pPr>
            <w:r w:rsidRPr="00772B26">
              <w:t>No licensing, legislative, regulatory or certification requirements apply to this unit at the time of publication.</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3" w:name="O_82997"/>
      <w:bookmarkEnd w:id="3"/>
      <w:r w:rsidRPr="00772B26">
        <w:t>Application of the Unit</w:t>
      </w:r>
    </w:p>
    <w:tbl>
      <w:tblPr>
        <w:tblW w:w="0" w:type="auto"/>
        <w:tblLayout w:type="fixed"/>
        <w:tblCellMar>
          <w:left w:w="62" w:type="dxa"/>
          <w:right w:w="62" w:type="dxa"/>
        </w:tblCellMar>
        <w:tblLook w:val="0000"/>
      </w:tblPr>
      <w:tblGrid>
        <w:gridCol w:w="2756"/>
        <w:gridCol w:w="5766"/>
      </w:tblGrid>
      <w:tr w:rsidTr="00B54DB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This unit applies to the basic use of colour when creating layouts for individuals working in the printing and graphic arts sector.</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4" w:name="O_82998"/>
      <w:bookmarkEnd w:id="4"/>
      <w:r w:rsidRPr="00772B26">
        <w:t>Licensing/Regulatory Information</w:t>
      </w:r>
    </w:p>
    <w:p w:rsidR="00000000" w:rsidRPr="00772B26" w:rsidP="00772B26">
      <w:pPr>
        <w:pStyle w:val="BodyText"/>
      </w:pPr>
      <w:r w:rsidRPr="00772B26">
        <w:t>Not applicable.</w:t>
      </w:r>
    </w:p>
    <w:p w:rsidR="00000000" w:rsidRPr="00772B26" w:rsidP="00772B26">
      <w:pPr>
        <w:pStyle w:val="AllowPageBreak"/>
      </w:pPr>
    </w:p>
    <w:p w:rsidR="00000000" w:rsidRPr="00772B26" w:rsidP="00772B26">
      <w:pPr>
        <w:pStyle w:val="Heading1"/>
      </w:pPr>
      <w:bookmarkStart w:id="5" w:name="O_83000"/>
      <w:bookmarkEnd w:id="5"/>
      <w:r w:rsidRPr="00772B26">
        <w:t>Pre-Requisites</w:t>
      </w:r>
    </w:p>
    <w:tbl>
      <w:tblPr>
        <w:tblW w:w="0" w:type="auto"/>
        <w:tblLayout w:type="fixed"/>
        <w:tblCellMar>
          <w:left w:w="62" w:type="dxa"/>
          <w:right w:w="62" w:type="dxa"/>
        </w:tblCellMar>
        <w:tblLook w:val="0000"/>
      </w:tblPr>
      <w:tblGrid>
        <w:gridCol w:w="2775"/>
        <w:gridCol w:w="1295"/>
        <w:gridCol w:w="4452"/>
      </w:tblGrid>
      <w:tr w:rsidTr="00B54D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p>
        </w:tc>
      </w:tr>
      <w:tr w:rsidTr="00B54D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p>
        </w:tc>
      </w:tr>
      <w:tr w:rsidTr="00B54D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6" w:name="O_82999"/>
      <w:bookmarkEnd w:id="6"/>
      <w:r w:rsidRPr="00772B26">
        <w:t>Employability Skills Information</w:t>
      </w:r>
    </w:p>
    <w:tbl>
      <w:tblPr>
        <w:tblW w:w="0" w:type="auto"/>
        <w:tblLayout w:type="fixed"/>
        <w:tblCellMar>
          <w:left w:w="62" w:type="dxa"/>
          <w:right w:w="62" w:type="dxa"/>
        </w:tblCellMar>
        <w:tblLook w:val="0000"/>
      </w:tblPr>
      <w:tblGrid>
        <w:gridCol w:w="2802"/>
        <w:gridCol w:w="5720"/>
      </w:tblGrid>
      <w:tr w:rsidTr="00B54D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This unit contains employability skills.</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7" w:name="O_83001"/>
      <w:bookmarkEnd w:id="7"/>
      <w:r w:rsidRPr="00772B26">
        <w:t>Elements and Performance Criteria Pre-Content</w:t>
      </w:r>
    </w:p>
    <w:tbl>
      <w:tblPr>
        <w:tblW w:w="0" w:type="auto"/>
        <w:tblLayout w:type="fixed"/>
        <w:tblCellMar>
          <w:left w:w="62" w:type="dxa"/>
          <w:right w:w="62" w:type="dxa"/>
        </w:tblCellMar>
        <w:tblLook w:val="0000"/>
      </w:tblPr>
      <w:tblGrid>
        <w:gridCol w:w="2579"/>
        <w:gridCol w:w="5943"/>
      </w:tblGrid>
      <w:tr w:rsidTr="00B54DBC">
        <w:tblPrEx>
          <w:tblW w:w="0" w:type="auto"/>
          <w:tblLayout w:type="fixed"/>
          <w:tblCellMar>
            <w:left w:w="62" w:type="dxa"/>
            <w:right w:w="62" w:type="dxa"/>
          </w:tblCellMar>
          <w:tblLook w:val="0000"/>
        </w:tblPrEx>
        <w:tc>
          <w:tcPr>
            <w:tcW w:w="257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t>Elements describe the essential outcomes of a unit of competency.</w:t>
            </w:r>
          </w:p>
        </w:tc>
        <w:tc>
          <w:tcPr>
            <w:tcW w:w="594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Performance criteria describe the performance needed to demonstrate achievement of the element. Where bold italicised text is used, further information is detailed in the required skills and</w:t>
            </w:r>
            <w:r w:rsidRPr="00772B26">
              <w:t xml:space="preserve"> knowledge section and the range statement. Assessment of performance is to be consistent with the evidence guide.</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8" w:name="O_83002"/>
      <w:bookmarkEnd w:id="8"/>
      <w:r w:rsidRPr="00772B26">
        <w:t>Elements and Performance Criteria</w:t>
      </w:r>
    </w:p>
    <w:tbl>
      <w:tblPr>
        <w:tblW w:w="0" w:type="auto"/>
        <w:tblLayout w:type="fixed"/>
        <w:tblCellMar>
          <w:left w:w="62" w:type="dxa"/>
          <w:right w:w="62" w:type="dxa"/>
        </w:tblCellMar>
        <w:tblLook w:val="0000"/>
      </w:tblPr>
      <w:tblGrid>
        <w:gridCol w:w="2579"/>
        <w:gridCol w:w="5943"/>
      </w:tblGrid>
      <w:tr w:rsidTr="00B54DB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72B26" w:rsidP="00772B26">
            <w:pPr>
              <w:pStyle w:val="BodyText"/>
            </w:pPr>
            <w:r w:rsidRPr="00772B26">
              <w:rPr>
                <w:rStyle w:val="SpecialBold"/>
              </w:rPr>
              <w:t>ELEMENT</w:t>
            </w:r>
          </w:p>
        </w:tc>
        <w:tc>
          <w:tcPr>
            <w:tcW w:w="594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PERFORMANCE CRITERIA</w:t>
            </w:r>
          </w:p>
        </w:tc>
      </w:tr>
      <w:tr w:rsidTr="00B54D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List"/>
              <w:rPr>
                <w:lang w:val="en-NZ"/>
              </w:rPr>
            </w:pPr>
            <w:r w:rsidRPr="00772B26">
              <w:t>1.</w:t>
            </w:r>
            <w:r w:rsidRPr="00772B26">
              <w:tab/>
              <w:t>Identify the need for colour management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2"/>
            </w:pPr>
            <w:r w:rsidRPr="00772B26">
              <w:t>1.1.</w:t>
            </w:r>
            <w:r w:rsidRPr="00772B26">
              <w:tab/>
            </w:r>
            <w:r w:rsidRPr="00772B26">
              <w:t xml:space="preserve">The varied colour representation of </w:t>
            </w:r>
            <w:r w:rsidRPr="00772B26">
              <w:rPr>
                <w:rStyle w:val="BoldandItalics"/>
              </w:rPr>
              <w:t>devices</w:t>
            </w:r>
            <w:r w:rsidRPr="00772B26">
              <w:t xml:space="preserve"> are identified and recorded</w:t>
            </w:r>
          </w:p>
          <w:p w:rsidR="00000000" w:rsidRPr="00772B26" w:rsidP="00772B26">
            <w:pPr>
              <w:pStyle w:val="List2"/>
            </w:pPr>
            <w:r w:rsidRPr="00772B26">
              <w:t>1.2.</w:t>
            </w:r>
            <w:r w:rsidRPr="00772B26">
              <w:tab/>
              <w:t>Colour inconstancies between input, display and output devices and the final printed product are identified and rectified</w:t>
            </w:r>
          </w:p>
          <w:p w:rsidR="00000000" w:rsidP="00772B26">
            <w:pPr>
              <w:pStyle w:val="List2"/>
              <w:rPr>
                <w:lang w:val="en-NZ"/>
              </w:rPr>
            </w:pPr>
            <w:r w:rsidRPr="00772B26">
              <w:t>1.3.</w:t>
            </w:r>
            <w:r w:rsidRPr="00772B26">
              <w:tab/>
              <w:t xml:space="preserve">The </w:t>
            </w:r>
            <w:r w:rsidRPr="00772B26">
              <w:rPr>
                <w:rStyle w:val="BoldandItalics"/>
              </w:rPr>
              <w:t>components</w:t>
            </w:r>
            <w:r w:rsidRPr="00772B26">
              <w:t xml:space="preserve"> of a colour management system are ide</w:t>
            </w:r>
            <w:r w:rsidRPr="00772B26">
              <w:t xml:space="preserve">ntified and suggestions made to improve </w:t>
            </w:r>
            <w:r w:rsidRPr="00772B26">
              <w:rPr>
                <w:rStyle w:val="BoldandItalics"/>
              </w:rPr>
              <w:t>workplace practices</w:t>
            </w:r>
            <w:r w:rsidRPr="00772B26">
              <w:t xml:space="preserve"> </w:t>
            </w:r>
          </w:p>
        </w:tc>
      </w:tr>
      <w:tr w:rsidTr="00B54D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List"/>
              <w:rPr>
                <w:lang w:val="en-NZ"/>
              </w:rPr>
            </w:pPr>
            <w:r w:rsidRPr="00772B26">
              <w:t>2.</w:t>
            </w:r>
            <w:r w:rsidRPr="00772B26">
              <w:tab/>
              <w:t>Use colour modes and libraries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2"/>
            </w:pPr>
            <w:r w:rsidRPr="00772B26">
              <w:t>2.1.</w:t>
            </w:r>
            <w:r w:rsidRPr="00772B26">
              <w:tab/>
              <w:t xml:space="preserve">Varying </w:t>
            </w:r>
            <w:r w:rsidRPr="00772B26">
              <w:rPr>
                <w:rStyle w:val="BoldandItalics"/>
              </w:rPr>
              <w:t>colour modes and libraries</w:t>
            </w:r>
            <w:r w:rsidRPr="00772B26">
              <w:t xml:space="preserve"> are used according to job specifications</w:t>
            </w:r>
          </w:p>
          <w:p w:rsidR="00000000" w:rsidRPr="00772B26" w:rsidP="00772B26">
            <w:pPr>
              <w:pStyle w:val="List2"/>
            </w:pPr>
            <w:r w:rsidRPr="00772B26">
              <w:t>2.2.</w:t>
            </w:r>
            <w:r w:rsidRPr="00772B26">
              <w:tab/>
              <w:t xml:space="preserve">Images are converted between colour modes using a </w:t>
            </w:r>
            <w:r w:rsidRPr="00772B26">
              <w:rPr>
                <w:rStyle w:val="BoldandItalics"/>
              </w:rPr>
              <w:t>process</w:t>
            </w:r>
            <w:r w:rsidRPr="00772B26">
              <w:t xml:space="preserve"> to ensure the be</w:t>
            </w:r>
            <w:r w:rsidRPr="00772B26">
              <w:t>st reproduction according to job specifications</w:t>
            </w:r>
          </w:p>
          <w:p w:rsidR="00000000" w:rsidRPr="00772B26" w:rsidP="00772B26">
            <w:pPr>
              <w:pStyle w:val="List2"/>
            </w:pPr>
            <w:r w:rsidRPr="00772B26">
              <w:t>2.3.</w:t>
            </w:r>
            <w:r w:rsidRPr="00772B26">
              <w:tab/>
              <w:t>Colour libraries are selected and used within software applications according to job specifications</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9" w:name="O_83003"/>
      <w:bookmarkEnd w:id="9"/>
      <w:r w:rsidRPr="00772B26">
        <w:t>Required Skills and Knowledge</w:t>
      </w:r>
    </w:p>
    <w:tbl>
      <w:tblPr>
        <w:tblW w:w="0" w:type="auto"/>
        <w:tblLayout w:type="fixed"/>
        <w:tblCellMar>
          <w:left w:w="62" w:type="dxa"/>
          <w:right w:w="62" w:type="dxa"/>
        </w:tblCellMar>
        <w:tblLook w:val="0000"/>
      </w:tblPr>
      <w:tblGrid>
        <w:gridCol w:w="8522"/>
      </w:tblGrid>
      <w:tr w:rsidTr="00B54D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REQUIRED SKILLS AND KNOWLEDGE</w:t>
            </w:r>
          </w:p>
        </w:tc>
      </w:tr>
      <w:tr w:rsidTr="00B54D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t>This section describes the skills and knowledge required for this unit.</w:t>
            </w:r>
          </w:p>
        </w:tc>
      </w:tr>
      <w:tr w:rsidTr="00B54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Required skills</w:t>
            </w:r>
          </w:p>
        </w:tc>
      </w:tr>
      <w:tr w:rsidTr="00B54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occupational health and safety (OHS) in relation to using correct ergonomics when operating the computer</w:t>
            </w:r>
          </w:p>
          <w:p w:rsidR="00000000" w:rsidRPr="00772B26" w:rsidP="00772B26">
            <w:pPr>
              <w:pStyle w:val="ListBullet"/>
            </w:pPr>
            <w:r w:rsidRPr="00772B26">
              <w:t xml:space="preserve">communicating ideas and information, having considered all the fundamentals of colour theory </w:t>
            </w:r>
          </w:p>
          <w:p w:rsidR="00000000" w:rsidRPr="00772B26" w:rsidP="00772B26">
            <w:pPr>
              <w:pStyle w:val="ListBullet"/>
            </w:pPr>
            <w:r w:rsidRPr="00772B26">
              <w:t>collecting, analysing and organising skills in relation to the fundamentals of colour theory</w:t>
            </w:r>
          </w:p>
          <w:p w:rsidR="00000000" w:rsidRPr="00772B26" w:rsidP="00772B26">
            <w:pPr>
              <w:pStyle w:val="ListBullet"/>
            </w:pPr>
            <w:r w:rsidRPr="00772B26">
              <w:t xml:space="preserve">planning and organising skills for identifying and clarifying colour </w:t>
            </w:r>
            <w:r w:rsidRPr="00772B26">
              <w:t>requirements</w:t>
            </w:r>
          </w:p>
          <w:p w:rsidR="00000000" w:rsidRPr="00772B26" w:rsidP="00772B26">
            <w:pPr>
              <w:pStyle w:val="ListBullet"/>
            </w:pPr>
            <w:r w:rsidRPr="00772B26">
              <w:t>teamwork skills for maintaining the production process in association with others</w:t>
            </w:r>
          </w:p>
          <w:p w:rsidR="00000000" w:rsidRPr="00772B26" w:rsidP="00772B26">
            <w:pPr>
              <w:pStyle w:val="ListBullet"/>
            </w:pPr>
            <w:r w:rsidRPr="00772B26">
              <w:t>problem-solving skills for diagnosing and correcting colour problems</w:t>
            </w:r>
          </w:p>
          <w:p w:rsidR="00000000" w:rsidP="00772B26">
            <w:pPr>
              <w:pStyle w:val="ListBullet"/>
              <w:rPr>
                <w:lang w:val="en-NZ"/>
              </w:rPr>
            </w:pPr>
            <w:r w:rsidRPr="00772B26">
              <w:t>technical skills for using software and hardware correctly to ensure consistency of output</w:t>
            </w:r>
          </w:p>
        </w:tc>
      </w:tr>
      <w:tr w:rsidTr="00B54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Required knowledge</w:t>
            </w:r>
          </w:p>
        </w:tc>
      </w:tr>
      <w:tr w:rsidTr="00B54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components of a colour management system</w:t>
            </w:r>
          </w:p>
          <w:p w:rsidR="00000000" w:rsidRPr="00772B26" w:rsidP="00772B26">
            <w:pPr>
              <w:pStyle w:val="ListBullet"/>
            </w:pPr>
            <w:r w:rsidRPr="00772B26">
              <w:t xml:space="preserve">terminology associated with colour management </w:t>
            </w:r>
          </w:p>
          <w:p w:rsidR="00000000" w:rsidRPr="00772B26" w:rsidP="00772B26">
            <w:pPr>
              <w:pStyle w:val="ListBullet"/>
            </w:pPr>
            <w:r w:rsidRPr="00772B26">
              <w:t>standard lighting conditions for matching colour</w:t>
            </w:r>
          </w:p>
          <w:p w:rsidR="00000000" w:rsidRPr="00772B26" w:rsidP="00772B26">
            <w:pPr>
              <w:pStyle w:val="ListBullet"/>
            </w:pPr>
            <w:r w:rsidRPr="00772B26">
              <w:t>effects different lighting conditions have on monitors, proofing and printing</w:t>
            </w:r>
          </w:p>
          <w:p w:rsidR="00000000" w:rsidRPr="00772B26" w:rsidP="00772B26">
            <w:pPr>
              <w:pStyle w:val="ListBullet"/>
            </w:pPr>
            <w:r w:rsidRPr="00772B26">
              <w:t>measurement of light</w:t>
            </w:r>
            <w:r w:rsidRPr="00772B26">
              <w:t xml:space="preserve"> intensity and colour temperature</w:t>
            </w:r>
          </w:p>
          <w:p w:rsidR="00000000" w:rsidRPr="00772B26" w:rsidP="00772B26">
            <w:pPr>
              <w:pStyle w:val="ListBullet"/>
            </w:pPr>
            <w:r w:rsidRPr="00772B26">
              <w:t>difference between red, blue, green (RGB), cyan, magenta, yellow, black (CMYK) and LAB colour</w:t>
            </w:r>
          </w:p>
          <w:p w:rsidR="00000000" w:rsidRPr="00772B26" w:rsidP="00772B26">
            <w:pPr>
              <w:pStyle w:val="ListBullet"/>
            </w:pPr>
            <w:r w:rsidRPr="00772B26">
              <w:t>different rendering intents and their application</w:t>
            </w:r>
          </w:p>
          <w:p w:rsidR="00000000" w:rsidRPr="00772B26" w:rsidP="00772B26">
            <w:pPr>
              <w:pStyle w:val="ListBullet"/>
            </w:pPr>
            <w:r w:rsidRPr="00772B26">
              <w:t>under colour removal (UCR) and grey component replacement (GCR) and what effect they have on an image</w:t>
            </w:r>
          </w:p>
          <w:p w:rsidR="00000000" w:rsidRPr="00772B26" w:rsidP="00772B26">
            <w:pPr>
              <w:pStyle w:val="ListBullet"/>
            </w:pPr>
            <w:r w:rsidRPr="00772B26">
              <w:t>different Pantone libraries and their application</w:t>
            </w:r>
          </w:p>
          <w:p w:rsidR="00000000" w:rsidRPr="00772B26" w:rsidP="00772B26">
            <w:pPr>
              <w:pStyle w:val="ListBullet"/>
            </w:pPr>
            <w:r w:rsidRPr="00772B26">
              <w:t>OHS issues needed to be considered when managing colour for digital production</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10" w:name="O_83004"/>
      <w:bookmarkEnd w:id="10"/>
      <w:r w:rsidRPr="00772B26">
        <w:t>Evidence</w:t>
      </w:r>
      <w:r w:rsidRPr="00772B26">
        <w:t xml:space="preserve"> Guide</w:t>
      </w:r>
    </w:p>
    <w:tbl>
      <w:tblPr>
        <w:tblW w:w="9570" w:type="dxa"/>
        <w:tblLayout w:type="fixed"/>
        <w:tblCellMar>
          <w:left w:w="62" w:type="dxa"/>
          <w:right w:w="62" w:type="dxa"/>
        </w:tblCellMar>
        <w:tblLook w:val="0000"/>
      </w:tblPr>
      <w:tblGrid>
        <w:gridCol w:w="3908"/>
        <w:gridCol w:w="5662"/>
      </w:tblGrid>
      <w:tr w:rsidTr="00B54D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EVIDENCE GUIDE</w:t>
            </w:r>
          </w:p>
        </w:tc>
      </w:tr>
      <w:tr w:rsidTr="00B54DBC">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t>The Evidence Guide provides advice on assessment and must be read in conjunction with the performance criteria, required skills and knowledge, range statement and the Assessment Guidelines for the Training Package.</w:t>
            </w:r>
          </w:p>
        </w:tc>
      </w:tr>
      <w:tr w:rsidTr="00B54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p>
        </w:tc>
      </w:tr>
      <w:tr w:rsidTr="00B54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Evidence of the ability to:</w:t>
            </w:r>
          </w:p>
          <w:p w:rsidR="00000000" w:rsidRPr="00772B26" w:rsidP="00772B26">
            <w:pPr>
              <w:pStyle w:val="ListBullet"/>
            </w:pPr>
            <w:r w:rsidRPr="00772B26">
              <w:t>identify the need and components of a colour management system</w:t>
            </w:r>
          </w:p>
          <w:p w:rsidR="00000000" w:rsidRPr="00772B26" w:rsidP="00772B26">
            <w:pPr>
              <w:pStyle w:val="ListBullet"/>
            </w:pPr>
            <w:r w:rsidRPr="00772B26">
              <w:t>select and convert images to appropriate colour modes</w:t>
            </w:r>
          </w:p>
          <w:p w:rsidR="00000000" w:rsidRPr="00772B26" w:rsidP="00772B26">
            <w:pPr>
              <w:pStyle w:val="ListBullet"/>
            </w:pPr>
            <w:r w:rsidRPr="00772B26">
              <w:t>select colour libraries that comply with specific job specifications</w:t>
            </w:r>
          </w:p>
          <w:p w:rsidR="00000000" w:rsidP="00772B26">
            <w:pPr>
              <w:pStyle w:val="ListBullet"/>
              <w:rPr>
                <w:lang w:val="en-NZ"/>
              </w:rPr>
            </w:pPr>
            <w:r w:rsidRPr="00772B26">
              <w:t>locate and use information relevant to the task from a variety of information sources.</w:t>
            </w:r>
          </w:p>
        </w:tc>
      </w:tr>
      <w:tr w:rsidTr="00B54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Context of and specific resources for assessm</w:t>
            </w:r>
            <w:r w:rsidRPr="00772B26">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Assessment must ensure:</w:t>
            </w:r>
          </w:p>
          <w:p w:rsidR="00000000" w:rsidRPr="00772B26" w:rsidP="00772B26">
            <w:pPr>
              <w:pStyle w:val="ListBullet"/>
            </w:pPr>
            <w:r w:rsidRPr="00772B26">
              <w:t xml:space="preserve">that conditions are typical ambient conditions found in the workplace </w:t>
            </w:r>
          </w:p>
          <w:p w:rsidR="00000000" w:rsidRPr="00772B26" w:rsidP="00772B26">
            <w:pPr>
              <w:pStyle w:val="ListBullet"/>
            </w:pPr>
            <w:r w:rsidRPr="00772B26">
              <w:t>access to relevant facilities, equipment and materials used for colour management production</w:t>
            </w:r>
          </w:p>
          <w:p w:rsidR="00000000" w:rsidP="00772B26">
            <w:pPr>
              <w:pStyle w:val="ListBullet"/>
              <w:rPr>
                <w:lang w:val="en-NZ"/>
              </w:rPr>
            </w:pPr>
            <w:r w:rsidRPr="00772B26">
              <w:t>use of culturally appropriate processes and techniques appropri</w:t>
            </w:r>
            <w:r w:rsidRPr="00772B26">
              <w:t xml:space="preserve">ate to the language and literacy capacity of learners and the work being performed.  </w:t>
            </w:r>
          </w:p>
        </w:tc>
      </w:tr>
      <w:tr w:rsidTr="00B54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A range of assessment methods should be used to assess practical skills and knowledge. The following examples are appropriate for this unit:</w:t>
            </w:r>
          </w:p>
          <w:p w:rsidR="00000000" w:rsidRPr="00772B26" w:rsidP="00772B26">
            <w:pPr>
              <w:pStyle w:val="ListBullet"/>
            </w:pPr>
            <w:r w:rsidRPr="00772B26">
              <w:t>direct</w:t>
            </w:r>
            <w:r w:rsidRPr="00772B26">
              <w:t xml:space="preserve"> questioning combined with review of portfolios of evidence</w:t>
            </w:r>
          </w:p>
          <w:p w:rsidR="00000000" w:rsidRPr="00772B26" w:rsidP="00772B26">
            <w:pPr>
              <w:pStyle w:val="ListBullet"/>
            </w:pPr>
            <w:r w:rsidRPr="00772B26">
              <w:t>third party workplace reports of on-the-job performance by the candidate</w:t>
            </w:r>
          </w:p>
          <w:p w:rsidR="00000000" w:rsidP="00772B26">
            <w:pPr>
              <w:pStyle w:val="ListBullet"/>
              <w:rPr>
                <w:lang w:val="en-NZ"/>
              </w:rPr>
            </w:pPr>
            <w:r w:rsidRPr="00772B26">
              <w:t xml:space="preserve">practical demonstration by the candidate when converting images between colour modes. </w:t>
            </w:r>
          </w:p>
        </w:tc>
      </w:tr>
      <w:tr w:rsidTr="00B54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Holistic assessment with other digital production units relevant to the workplace and job role is recommended, for example:</w:t>
            </w:r>
          </w:p>
          <w:p w:rsidR="00000000" w:rsidRPr="00772B26" w:rsidP="00772B26">
            <w:pPr>
              <w:pStyle w:val="ListBullet"/>
            </w:pPr>
            <w:r w:rsidRPr="00772B26">
              <w:t>digital production or pre-press units that require the application of colour.</w:t>
            </w:r>
          </w:p>
          <w:p w:rsidR="00000000" w:rsidRPr="00772B26" w:rsidP="00772B26">
            <w:pPr>
              <w:pStyle w:val="BodyText"/>
            </w:pPr>
          </w:p>
          <w:p w:rsidR="00000000" w:rsidRPr="00772B26" w:rsidP="00772B26">
            <w:pPr>
              <w:pStyle w:val="BodyText"/>
            </w:pPr>
            <w:r w:rsidRPr="00772B26">
              <w:t>For valid and reliable assessment of this unit, evi</w:t>
            </w:r>
            <w:r w:rsidRPr="00772B26">
              <w:t xml:space="preserve">dence should be gathered over a period of time through a range of methods for assessment to indicate consistent performance. </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11" w:name="O_83005"/>
      <w:bookmarkEnd w:id="11"/>
      <w:r w:rsidRPr="00772B26">
        <w:t>Range Statement</w:t>
      </w:r>
    </w:p>
    <w:tbl>
      <w:tblPr>
        <w:tblW w:w="0" w:type="auto"/>
        <w:tblLayout w:type="fixed"/>
        <w:tblCellMar>
          <w:left w:w="62" w:type="dxa"/>
          <w:right w:w="62" w:type="dxa"/>
        </w:tblCellMar>
        <w:tblLook w:val="0000"/>
      </w:tblPr>
      <w:tblGrid>
        <w:gridCol w:w="2593"/>
        <w:gridCol w:w="5929"/>
      </w:tblGrid>
      <w:tr w:rsidTr="00B54D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RANGE STATEMENT</w:t>
            </w:r>
          </w:p>
        </w:tc>
      </w:tr>
      <w:tr w:rsidTr="00B54DBC">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t>The range statement relates to the unit of competency as a whole. It allows for different work environments and situations that may affect performance. Bold italicised wording, if used in the performance criteria, is detailed below. Essential operating con</w:t>
            </w:r>
            <w:r w:rsidRPr="00772B26">
              <w:t>ditions that may be present with training and assessment (depending on the work situation, needs of the candidate, accessibility of the item, and local industry and regional contexts) may also be included.</w:t>
            </w:r>
          </w:p>
        </w:tc>
      </w:tr>
      <w:tr w:rsidTr="00B54D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BoldandItalics"/>
              </w:rPr>
              <w:t>Devices</w:t>
            </w:r>
            <w:r w:rsidRPr="00772B26">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monitors</w:t>
            </w:r>
          </w:p>
          <w:p w:rsidR="00000000" w:rsidRPr="00772B26" w:rsidP="00772B26">
            <w:pPr>
              <w:pStyle w:val="ListBullet"/>
            </w:pPr>
            <w:r w:rsidRPr="00772B26">
              <w:t>proofers</w:t>
            </w:r>
          </w:p>
          <w:p w:rsidR="00000000" w:rsidRPr="00772B26" w:rsidP="00772B26">
            <w:pPr>
              <w:pStyle w:val="ListBullet"/>
            </w:pPr>
            <w:r w:rsidRPr="00772B26">
              <w:t>printers</w:t>
            </w:r>
          </w:p>
          <w:p w:rsidR="00000000" w:rsidRPr="00772B26" w:rsidP="00772B26">
            <w:pPr>
              <w:pStyle w:val="ListBullet"/>
            </w:pPr>
            <w:r w:rsidRPr="00772B26">
              <w:t>scanners</w:t>
            </w:r>
          </w:p>
          <w:p w:rsidR="00000000" w:rsidRPr="00772B26" w:rsidP="00772B26">
            <w:pPr>
              <w:pStyle w:val="ListBullet"/>
            </w:pPr>
            <w:r w:rsidRPr="00772B26">
              <w:t>digital cameras</w:t>
            </w:r>
          </w:p>
          <w:p w:rsidR="00000000" w:rsidRPr="00772B26" w:rsidP="00772B26">
            <w:pPr>
              <w:pStyle w:val="ListBullet"/>
            </w:pPr>
            <w:r w:rsidRPr="00772B26">
              <w:t>digital presses</w:t>
            </w:r>
          </w:p>
          <w:p w:rsidR="00000000" w:rsidP="00772B26">
            <w:pPr>
              <w:pStyle w:val="ListBullet"/>
              <w:rPr>
                <w:lang w:val="en-NZ"/>
              </w:rPr>
            </w:pPr>
            <w:r w:rsidRPr="00772B26">
              <w:t xml:space="preserve">printing presses. </w:t>
            </w:r>
          </w:p>
        </w:tc>
      </w:tr>
      <w:tr w:rsidTr="00B54D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BoldandItalics"/>
              </w:rPr>
              <w:t>Components</w:t>
            </w:r>
            <w:r w:rsidRPr="00772B26">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standardised viewing environment</w:t>
            </w:r>
          </w:p>
          <w:p w:rsidR="00000000" w:rsidRPr="00772B26" w:rsidP="00772B26">
            <w:pPr>
              <w:pStyle w:val="ListBullet"/>
            </w:pPr>
            <w:r w:rsidRPr="00772B26">
              <w:t>calibrated and profiled output devices, such as printers and presses</w:t>
            </w:r>
          </w:p>
          <w:p w:rsidR="00000000" w:rsidRPr="00772B26" w:rsidP="00772B26">
            <w:pPr>
              <w:pStyle w:val="ListBullet"/>
            </w:pPr>
            <w:r w:rsidRPr="00772B26">
              <w:t>calibrated and profiled input devices, such as scanners and cameras</w:t>
            </w:r>
          </w:p>
          <w:p w:rsidR="00000000" w:rsidRPr="00772B26" w:rsidP="00772B26">
            <w:pPr>
              <w:pStyle w:val="ListBullet"/>
            </w:pPr>
            <w:r w:rsidRPr="00772B26">
              <w:t>calibrated monitors</w:t>
            </w:r>
          </w:p>
          <w:p w:rsidR="00000000" w:rsidRPr="00772B26" w:rsidP="00772B26">
            <w:pPr>
              <w:pStyle w:val="ListBullet"/>
            </w:pPr>
            <w:r w:rsidRPr="00772B26">
              <w:t>software applications that support colour management</w:t>
            </w:r>
          </w:p>
          <w:p w:rsidR="00000000" w:rsidP="00772B26">
            <w:pPr>
              <w:pStyle w:val="ListBullet"/>
              <w:rPr>
                <w:lang w:val="en-NZ"/>
              </w:rPr>
            </w:pPr>
            <w:r w:rsidRPr="00772B26">
              <w:t>colour profiles.</w:t>
            </w:r>
          </w:p>
        </w:tc>
      </w:tr>
      <w:tr w:rsidTr="00B54D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BoldandItalics"/>
              </w:rPr>
              <w:t>Workplace practices</w:t>
            </w:r>
            <w:r w:rsidRPr="00772B26">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establishment of colour managed workflow</w:t>
            </w:r>
          </w:p>
          <w:p w:rsidR="00000000" w:rsidRPr="00772B26" w:rsidP="00772B26">
            <w:pPr>
              <w:pStyle w:val="ListBullet"/>
            </w:pPr>
            <w:r w:rsidRPr="00772B26">
              <w:t>calibration and regular recalibration of devices</w:t>
            </w:r>
          </w:p>
          <w:p w:rsidR="00000000" w:rsidP="00772B26">
            <w:pPr>
              <w:pStyle w:val="ListBullet"/>
              <w:rPr>
                <w:lang w:val="en-NZ"/>
              </w:rPr>
            </w:pPr>
            <w:r w:rsidRPr="00772B26">
              <w:t>adoption of recognised colour standard, such as AS ISO 12647-2.</w:t>
            </w:r>
          </w:p>
        </w:tc>
      </w:tr>
      <w:tr w:rsidTr="00B54D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BoldandItalics"/>
              </w:rPr>
              <w:t>Colour modes and libraries</w:t>
            </w:r>
            <w:r w:rsidRPr="00772B26">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RGB</w:t>
            </w:r>
          </w:p>
          <w:p w:rsidR="00000000" w:rsidRPr="00772B26" w:rsidP="00772B26">
            <w:pPr>
              <w:pStyle w:val="ListBullet"/>
            </w:pPr>
            <w:r w:rsidRPr="00772B26">
              <w:t>CMYK</w:t>
            </w:r>
          </w:p>
          <w:p w:rsidR="00000000" w:rsidRPr="00772B26" w:rsidP="00772B26">
            <w:pPr>
              <w:pStyle w:val="ListBullet"/>
            </w:pPr>
            <w:r w:rsidRPr="00772B26">
              <w:t>LAB</w:t>
            </w:r>
          </w:p>
          <w:p w:rsidR="00000000" w:rsidP="00772B26">
            <w:pPr>
              <w:pStyle w:val="ListBullet"/>
              <w:rPr>
                <w:lang w:val="en-NZ"/>
              </w:rPr>
            </w:pPr>
            <w:r w:rsidRPr="00772B26">
              <w:t>Pantone.</w:t>
            </w:r>
          </w:p>
        </w:tc>
      </w:tr>
      <w:tr w:rsidTr="00B54D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BoldandItalics"/>
              </w:rPr>
              <w:t>Process</w:t>
            </w:r>
            <w:r w:rsidRPr="00772B26">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ListBullet"/>
            </w:pPr>
            <w:r w:rsidRPr="00772B26">
              <w:t>selection of colour mode and rendering intent</w:t>
            </w:r>
          </w:p>
          <w:p w:rsidR="00000000" w:rsidRPr="00772B26" w:rsidP="00772B26">
            <w:pPr>
              <w:pStyle w:val="ListBullet"/>
            </w:pPr>
            <w:r w:rsidRPr="00772B26">
              <w:t>converting using profiles.</w:t>
            </w:r>
          </w:p>
        </w:tc>
      </w:tr>
    </w:tbl>
    <w:p w:rsidR="00B54DBC" w:rsidP="00772B26">
      <w:pPr>
        <w:pStyle w:val="BodyText"/>
      </w:pPr>
    </w:p>
    <w:p w:rsidR="00B54DBC" w:rsidP="00772B26">
      <w:pPr>
        <w:pStyle w:val="BodyText"/>
      </w:pPr>
    </w:p>
    <w:p w:rsidR="00000000" w:rsidRPr="00772B26" w:rsidP="00772B26">
      <w:pPr>
        <w:pStyle w:val="Heading1"/>
      </w:pPr>
      <w:bookmarkStart w:id="12" w:name="O_83006"/>
      <w:bookmarkEnd w:id="12"/>
      <w:r w:rsidRPr="00772B26">
        <w:t>Unit Sector(s)</w:t>
      </w:r>
    </w:p>
    <w:tbl>
      <w:tblPr>
        <w:tblW w:w="0" w:type="auto"/>
        <w:tblLayout w:type="fixed"/>
        <w:tblCellMar>
          <w:left w:w="62" w:type="dxa"/>
          <w:right w:w="62" w:type="dxa"/>
        </w:tblCellMar>
        <w:tblLook w:val="0000"/>
      </w:tblPr>
      <w:tblGrid>
        <w:gridCol w:w="2654"/>
        <w:gridCol w:w="5868"/>
      </w:tblGrid>
      <w:tr w:rsidTr="00B54D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13" w:name="O_157065"/>
      <w:bookmarkEnd w:id="13"/>
      <w:r w:rsidRPr="00772B26">
        <w:t>Competency field</w:t>
      </w:r>
    </w:p>
    <w:tbl>
      <w:tblPr>
        <w:tblW w:w="0" w:type="auto"/>
        <w:tblLayout w:type="fixed"/>
        <w:tblCellMar>
          <w:left w:w="62" w:type="dxa"/>
          <w:right w:w="62" w:type="dxa"/>
        </w:tblCellMar>
        <w:tblLook w:val="0000"/>
      </w:tblPr>
      <w:tblGrid>
        <w:gridCol w:w="2778"/>
        <w:gridCol w:w="5744"/>
      </w:tblGrid>
      <w:tr w:rsidTr="00B54DB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r w:rsidRPr="00772B26">
              <w:t xml:space="preserve">Printing </w:t>
            </w:r>
          </w:p>
        </w:tc>
      </w:tr>
    </w:tbl>
    <w:p w:rsidR="00000000" w:rsidRPr="00772B26" w:rsidP="00772B26">
      <w:pPr>
        <w:pStyle w:val="BodyText"/>
      </w:pPr>
    </w:p>
    <w:p w:rsidR="00000000" w:rsidRPr="00772B26" w:rsidP="00772B26">
      <w:pPr>
        <w:pStyle w:val="AllowPageBreak"/>
      </w:pPr>
    </w:p>
    <w:p w:rsidR="00000000" w:rsidRPr="00772B26" w:rsidP="00772B26">
      <w:pPr>
        <w:pStyle w:val="Heading1"/>
      </w:pPr>
      <w:bookmarkStart w:id="14" w:name="O_157064"/>
      <w:bookmarkEnd w:id="14"/>
      <w:r w:rsidRPr="00772B26">
        <w:t>Co-requisite units</w:t>
      </w:r>
    </w:p>
    <w:tbl>
      <w:tblPr>
        <w:tblW w:w="0" w:type="auto"/>
        <w:tblLayout w:type="fixed"/>
        <w:tblCellMar>
          <w:left w:w="62" w:type="dxa"/>
          <w:right w:w="62" w:type="dxa"/>
        </w:tblCellMar>
        <w:tblLook w:val="0000"/>
      </w:tblPr>
      <w:tblGrid>
        <w:gridCol w:w="2641"/>
        <w:gridCol w:w="1322"/>
        <w:gridCol w:w="4559"/>
      </w:tblGrid>
      <w:tr w:rsidTr="00B54D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r w:rsidRPr="00772B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p>
        </w:tc>
      </w:tr>
      <w:tr w:rsidTr="00B54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26">
            <w:pPr>
              <w:pStyle w:val="BodyText"/>
              <w:rPr>
                <w:lang w:val="en-NZ"/>
              </w:rPr>
            </w:pPr>
          </w:p>
        </w:tc>
      </w:tr>
      <w:tr w:rsidTr="00B54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26" w:rsidP="00772B26">
            <w:pPr>
              <w:pStyle w:val="BodyText"/>
            </w:pPr>
          </w:p>
        </w:tc>
      </w:tr>
    </w:tbl>
    <w:p w:rsidR="00000000" w:rsidRPr="00772B26" w:rsidP="00772B26">
      <w:pPr>
        <w:pStyle w:val="BodyText"/>
      </w:pPr>
    </w:p>
    <w:p w:rsidR="00000000" w:rsidRPr="00772B26" w:rsidP="00772B26"/>
    <w:sectPr w:rsidSect="00772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DBC" w:rsidP="00B54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BC" w:rsidP="00772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4DBC" w:rsidP="00772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4DBC" w:rsidP="00772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DBC" w:rsidP="00B54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BC" w:rsidP="00772B26">
    <w:pPr>
      <w:pStyle w:val="Header"/>
      <w:framePr w:wrap="around"/>
    </w:pPr>
    <w:r>
      <w:fldChar w:fldCharType="begin"/>
    </w:r>
    <w:r>
      <w:instrText xml:space="preserve"> TITLE   \* MERGEFORMAT </w:instrText>
    </w:r>
    <w:r>
      <w:fldChar w:fldCharType="separate"/>
    </w:r>
    <w:r>
      <w:t>ICPPR284A Introduction to colour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4DBC" w:rsidP="00772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063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A8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B26"/>
    <w:pPr>
      <w:spacing w:before="360" w:after="60"/>
      <w:outlineLvl w:val="0"/>
    </w:pPr>
    <w:rPr>
      <w:sz w:val="32"/>
    </w:rPr>
  </w:style>
  <w:style w:type="paragraph" w:styleId="Heading2">
    <w:name w:val="heading 2"/>
    <w:basedOn w:val="HeadingBase"/>
    <w:next w:val="BodyText"/>
    <w:link w:val="Heading2Char"/>
    <w:qFormat/>
    <w:rsid w:val="00772B26"/>
    <w:pPr>
      <w:keepLines/>
      <w:spacing w:before="240" w:after="120"/>
      <w:outlineLvl w:val="1"/>
    </w:pPr>
    <w:rPr>
      <w:sz w:val="28"/>
      <w:szCs w:val="40"/>
    </w:rPr>
  </w:style>
  <w:style w:type="paragraph" w:styleId="Heading3">
    <w:name w:val="heading 3"/>
    <w:basedOn w:val="HeadingBase"/>
    <w:next w:val="BodyText"/>
    <w:link w:val="Heading3Char"/>
    <w:qFormat/>
    <w:rsid w:val="00772B26"/>
    <w:pPr>
      <w:spacing w:before="180" w:after="120"/>
      <w:outlineLvl w:val="2"/>
    </w:pPr>
    <w:rPr>
      <w:spacing w:val="-10"/>
      <w:kern w:val="32"/>
    </w:rPr>
  </w:style>
  <w:style w:type="paragraph" w:styleId="Heading4">
    <w:name w:val="heading 4"/>
    <w:basedOn w:val="HeadingBase"/>
    <w:next w:val="BodyText"/>
    <w:link w:val="Heading4Char"/>
    <w:qFormat/>
    <w:rsid w:val="00772B26"/>
    <w:pPr>
      <w:spacing w:before="160" w:after="120"/>
      <w:outlineLvl w:val="3"/>
    </w:pPr>
    <w:rPr>
      <w:sz w:val="22"/>
    </w:rPr>
  </w:style>
  <w:style w:type="paragraph" w:styleId="Heading5">
    <w:name w:val="heading 5"/>
    <w:basedOn w:val="HeadingBase"/>
    <w:next w:val="Normal"/>
    <w:link w:val="Heading5Char"/>
    <w:qFormat/>
    <w:rsid w:val="00772B26"/>
    <w:pPr>
      <w:spacing w:before="80"/>
      <w:outlineLvl w:val="4"/>
    </w:pPr>
    <w:rPr>
      <w:color w:val="918585"/>
      <w:sz w:val="20"/>
    </w:rPr>
  </w:style>
  <w:style w:type="paragraph" w:styleId="Heading6">
    <w:name w:val="heading 6"/>
    <w:basedOn w:val="HeadingBase"/>
    <w:next w:val="Normal"/>
    <w:link w:val="Heading6Char"/>
    <w:qFormat/>
    <w:rsid w:val="00772B26"/>
    <w:pPr>
      <w:spacing w:before="60"/>
      <w:outlineLvl w:val="5"/>
    </w:pPr>
    <w:rPr>
      <w:color w:val="918585"/>
      <w:sz w:val="20"/>
    </w:rPr>
  </w:style>
  <w:style w:type="paragraph" w:styleId="Heading7">
    <w:name w:val="heading 7"/>
    <w:basedOn w:val="Normal"/>
    <w:next w:val="Normal"/>
    <w:link w:val="Heading7Char"/>
    <w:qFormat/>
    <w:rsid w:val="00772B26"/>
    <w:pPr>
      <w:ind w:left="720"/>
      <w:outlineLvl w:val="6"/>
    </w:pPr>
    <w:rPr>
      <w:i/>
    </w:rPr>
  </w:style>
  <w:style w:type="paragraph" w:styleId="Heading8">
    <w:name w:val="heading 8"/>
    <w:basedOn w:val="Normal"/>
    <w:next w:val="Normal"/>
    <w:link w:val="Heading8Char"/>
    <w:qFormat/>
    <w:rsid w:val="00772B26"/>
    <w:pPr>
      <w:ind w:left="720"/>
      <w:outlineLvl w:val="7"/>
    </w:pPr>
    <w:rPr>
      <w:i/>
    </w:rPr>
  </w:style>
  <w:style w:type="paragraph" w:styleId="Heading9">
    <w:name w:val="heading 9"/>
    <w:basedOn w:val="Normal"/>
    <w:next w:val="Normal"/>
    <w:link w:val="Heading9Char"/>
    <w:qFormat/>
    <w:rsid w:val="00772B26"/>
    <w:pPr>
      <w:ind w:left="720"/>
      <w:outlineLvl w:val="8"/>
    </w:pPr>
    <w:rPr>
      <w:i/>
    </w:rPr>
  </w:style>
  <w:style w:type="character" w:default="1" w:styleId="DefaultParagraphFont">
    <w:name w:val="Default Paragraph Font"/>
    <w:uiPriority w:val="1"/>
    <w:unhideWhenUsed/>
    <w:rsid w:val="00772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B26"/>
  </w:style>
  <w:style w:type="character" w:customStyle="1" w:styleId="Heading1Char">
    <w:name w:val="Heading 1 Char"/>
    <w:basedOn w:val="DefaultParagraphFont"/>
    <w:link w:val="Heading1"/>
    <w:rsid w:val="00772B26"/>
    <w:rPr>
      <w:rFonts w:ascii="Times New Roman" w:eastAsia="Times New Roman" w:hAnsi="Times New Roman" w:cs="Times New Roman"/>
      <w:b/>
      <w:sz w:val="32"/>
      <w:szCs w:val="20"/>
      <w:lang w:eastAsia="en-US"/>
    </w:rPr>
  </w:style>
  <w:style w:type="paragraph" w:styleId="BodyText">
    <w:name w:val="Body Text"/>
    <w:basedOn w:val="Normal"/>
    <w:link w:val="BodyTextChar"/>
    <w:rsid w:val="00772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B26"/>
    <w:rPr>
      <w:rFonts w:ascii="Times New Roman" w:eastAsia="Times New Roman" w:hAnsi="Times New Roman" w:cs="Times New Roman"/>
      <w:sz w:val="24"/>
      <w:lang w:val="en-US" w:eastAsia="en-US"/>
    </w:rPr>
  </w:style>
  <w:style w:type="paragraph" w:styleId="Footer">
    <w:name w:val="footer"/>
    <w:basedOn w:val="Normal"/>
    <w:link w:val="FooterChar"/>
    <w:rsid w:val="00772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B26"/>
    <w:rPr>
      <w:rFonts w:ascii="Times New Roman" w:eastAsia="Times New Roman" w:hAnsi="Times New Roman" w:cs="Times New Roman"/>
      <w:sz w:val="16"/>
      <w:lang w:val="en-US" w:eastAsia="en-US"/>
    </w:rPr>
  </w:style>
  <w:style w:type="paragraph" w:styleId="List">
    <w:name w:val="List"/>
    <w:basedOn w:val="BodyText"/>
    <w:next w:val="BodyText"/>
    <w:rsid w:val="00772B26"/>
    <w:pPr>
      <w:tabs>
        <w:tab w:val="left" w:pos="340"/>
      </w:tabs>
      <w:spacing w:before="60" w:after="60"/>
      <w:ind w:left="340" w:hanging="340"/>
    </w:pPr>
  </w:style>
  <w:style w:type="paragraph" w:styleId="ListBullet">
    <w:name w:val="List Bullet"/>
    <w:basedOn w:val="List"/>
    <w:rsid w:val="00772B26"/>
    <w:pPr>
      <w:numPr>
        <w:numId w:val="12"/>
      </w:numPr>
      <w:tabs>
        <w:tab w:val="clear" w:pos="340"/>
      </w:tabs>
      <w:spacing w:before="40" w:after="40"/>
    </w:pPr>
  </w:style>
  <w:style w:type="character" w:customStyle="1" w:styleId="SpecialBold">
    <w:name w:val="Special Bold"/>
    <w:basedOn w:val="DefaultParagraphFont"/>
    <w:rsid w:val="00772B26"/>
    <w:rPr>
      <w:b/>
      <w:spacing w:val="0"/>
    </w:rPr>
  </w:style>
  <w:style w:type="paragraph" w:styleId="Header">
    <w:name w:val="header"/>
    <w:basedOn w:val="Normal"/>
    <w:link w:val="HeaderChar"/>
    <w:rsid w:val="00772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B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B26"/>
    <w:pPr>
      <w:spacing w:before="240" w:after="120"/>
      <w:outlineLvl w:val="0"/>
    </w:pPr>
    <w:rPr>
      <w:rFonts w:ascii="Times New Roman" w:hAnsi="Times New Roman"/>
      <w:b/>
      <w:sz w:val="28"/>
    </w:rPr>
  </w:style>
  <w:style w:type="paragraph" w:customStyle="1" w:styleId="AllowPageBreak">
    <w:name w:val="AllowPageBreak"/>
    <w:rsid w:val="00772B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B26"/>
    <w:pPr>
      <w:tabs>
        <w:tab w:val="left" w:pos="680"/>
      </w:tabs>
      <w:spacing w:before="60" w:after="60"/>
      <w:ind w:left="680" w:hanging="340"/>
    </w:pPr>
  </w:style>
  <w:style w:type="character" w:customStyle="1" w:styleId="BoldandItalics">
    <w:name w:val="Bold and Italics"/>
    <w:qFormat/>
    <w:rsid w:val="00772B26"/>
    <w:rPr>
      <w:b/>
      <w:i/>
      <w:u w:val="none"/>
    </w:rPr>
  </w:style>
  <w:style w:type="character" w:customStyle="1" w:styleId="Heading2Char">
    <w:name w:val="Heading 2 Char"/>
    <w:basedOn w:val="DefaultParagraphFont"/>
    <w:link w:val="Heading2"/>
    <w:rsid w:val="00772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B26"/>
    <w:rPr>
      <w:rFonts w:ascii="Courier New" w:eastAsia="Times New Roman" w:hAnsi="Courier New" w:cs="Times New Roman"/>
      <w:i/>
      <w:szCs w:val="20"/>
      <w:lang w:val="en-US" w:eastAsia="en-US"/>
    </w:rPr>
  </w:style>
  <w:style w:type="paragraph" w:customStyle="1" w:styleId="HeadingBase">
    <w:name w:val="Heading Base"/>
    <w:rsid w:val="00772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B26"/>
    <w:pPr>
      <w:tabs>
        <w:tab w:val="right" w:leader="dot" w:pos="9072"/>
      </w:tabs>
      <w:ind w:left="567"/>
    </w:pPr>
    <w:rPr>
      <w:szCs w:val="22"/>
    </w:rPr>
  </w:style>
  <w:style w:type="paragraph" w:customStyle="1" w:styleId="TOCBase">
    <w:name w:val="TOC Base"/>
    <w:rsid w:val="00772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B26"/>
    <w:pPr>
      <w:tabs>
        <w:tab w:val="right" w:leader="dot" w:pos="9072"/>
      </w:tabs>
      <w:spacing w:before="40" w:after="40"/>
      <w:ind w:left="284"/>
    </w:pPr>
    <w:rPr>
      <w:rFonts w:ascii="Times New Roman" w:hAnsi="Times New Roman"/>
    </w:rPr>
  </w:style>
  <w:style w:type="paragraph" w:styleId="TOC1">
    <w:name w:val="toc 1"/>
    <w:basedOn w:val="TOCBase"/>
    <w:next w:val="Normal"/>
    <w:rsid w:val="00772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B26"/>
    <w:pPr>
      <w:spacing w:before="5040"/>
      <w:jc w:val="center"/>
    </w:pPr>
    <w:rPr>
      <w:sz w:val="48"/>
      <w:szCs w:val="72"/>
      <w:lang w:val="en-US"/>
    </w:rPr>
  </w:style>
  <w:style w:type="character" w:customStyle="1" w:styleId="TitleChar">
    <w:name w:val="Title Char"/>
    <w:basedOn w:val="DefaultParagraphFont"/>
    <w:link w:val="Title"/>
    <w:rsid w:val="00772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B26"/>
    <w:pPr>
      <w:tabs>
        <w:tab w:val="left" w:pos="3600"/>
        <w:tab w:val="left" w:pos="3958"/>
      </w:tabs>
    </w:pPr>
  </w:style>
  <w:style w:type="paragraph" w:customStyle="1" w:styleId="Note">
    <w:name w:val="Note"/>
    <w:basedOn w:val="BodyText"/>
    <w:rsid w:val="00772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B26"/>
    <w:pPr>
      <w:framePr w:wrap="auto" w:hAnchor="text" w:y="6049"/>
    </w:pPr>
    <w:rPr>
      <w:color w:val="000000"/>
      <w:sz w:val="40"/>
    </w:rPr>
  </w:style>
  <w:style w:type="paragraph" w:customStyle="1" w:styleId="TOCTitle">
    <w:name w:val="TOCTitle"/>
    <w:basedOn w:val="Heading1"/>
    <w:rsid w:val="00772B26"/>
    <w:pPr>
      <w:spacing w:after="240"/>
      <w:jc w:val="center"/>
      <w:outlineLvl w:val="9"/>
    </w:pPr>
    <w:rPr>
      <w:caps/>
    </w:rPr>
  </w:style>
  <w:style w:type="paragraph" w:customStyle="1" w:styleId="Version">
    <w:name w:val="Version"/>
    <w:rsid w:val="00772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B26"/>
    <w:pPr>
      <w:numPr>
        <w:numId w:val="13"/>
      </w:numPr>
      <w:tabs>
        <w:tab w:val="clear" w:pos="680"/>
      </w:tabs>
    </w:pPr>
  </w:style>
  <w:style w:type="paragraph" w:styleId="Index1">
    <w:name w:val="index 1"/>
    <w:basedOn w:val="Normal"/>
    <w:next w:val="Normal"/>
    <w:semiHidden/>
    <w:rsid w:val="00772B26"/>
    <w:pPr>
      <w:keepNext w:val="0"/>
      <w:tabs>
        <w:tab w:val="right" w:pos="4176"/>
      </w:tabs>
      <w:ind w:left="198" w:hanging="198"/>
    </w:pPr>
    <w:rPr>
      <w:rFonts w:ascii="Garamond" w:hAnsi="Garamond"/>
    </w:rPr>
  </w:style>
  <w:style w:type="paragraph" w:styleId="IndexHeading">
    <w:name w:val="index heading"/>
    <w:basedOn w:val="Normal"/>
    <w:next w:val="Index1"/>
    <w:semiHidden/>
    <w:rsid w:val="00772B26"/>
    <w:pPr>
      <w:spacing w:before="120" w:after="120"/>
    </w:pPr>
    <w:rPr>
      <w:rFonts w:ascii="Arial" w:hAnsi="Arial"/>
      <w:b/>
      <w:color w:val="918585"/>
      <w:sz w:val="24"/>
    </w:rPr>
  </w:style>
  <w:style w:type="paragraph" w:customStyle="1" w:styleId="Chapter">
    <w:name w:val="Chapter"/>
    <w:basedOn w:val="Normal"/>
    <w:rsid w:val="00772B26"/>
    <w:pPr>
      <w:spacing w:before="240"/>
    </w:pPr>
    <w:rPr>
      <w:rFonts w:ascii="Times New Roman" w:hAnsi="Times New Roman"/>
      <w:smallCaps/>
      <w:spacing w:val="80"/>
      <w:sz w:val="28"/>
    </w:rPr>
  </w:style>
  <w:style w:type="paragraph" w:customStyle="1" w:styleId="InChapter">
    <w:name w:val="InChapter"/>
    <w:basedOn w:val="Heading3"/>
    <w:rsid w:val="00772B26"/>
    <w:pPr>
      <w:spacing w:after="240"/>
      <w:outlineLvl w:val="9"/>
    </w:pPr>
    <w:rPr>
      <w:noProof/>
    </w:rPr>
  </w:style>
  <w:style w:type="paragraph" w:styleId="Index2">
    <w:name w:val="index 2"/>
    <w:basedOn w:val="Normal"/>
    <w:next w:val="Normal"/>
    <w:semiHidden/>
    <w:rsid w:val="00772B26"/>
    <w:pPr>
      <w:tabs>
        <w:tab w:val="right" w:pos="4176"/>
      </w:tabs>
      <w:ind w:left="568" w:hanging="284"/>
    </w:pPr>
    <w:rPr>
      <w:rFonts w:ascii="Garamond" w:hAnsi="Garamond"/>
    </w:rPr>
  </w:style>
  <w:style w:type="paragraph" w:customStyle="1" w:styleId="Byline">
    <w:name w:val="Byline"/>
    <w:rsid w:val="00772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B26"/>
    <w:pPr>
      <w:tabs>
        <w:tab w:val="clear" w:pos="3600"/>
        <w:tab w:val="clear" w:pos="3958"/>
      </w:tabs>
      <w:jc w:val="right"/>
    </w:pPr>
  </w:style>
  <w:style w:type="character" w:styleId="Emphasis">
    <w:name w:val="Emphasis"/>
    <w:basedOn w:val="DefaultParagraphFont"/>
    <w:qFormat/>
    <w:rsid w:val="00772B26"/>
    <w:rPr>
      <w:i/>
    </w:rPr>
  </w:style>
  <w:style w:type="paragraph" w:styleId="Caption">
    <w:name w:val="caption"/>
    <w:basedOn w:val="BodyText"/>
    <w:next w:val="Normal"/>
    <w:qFormat/>
    <w:rsid w:val="00772B26"/>
    <w:pPr>
      <w:framePr w:w="2268" w:hSpace="181" w:vSpace="181" w:wrap="around" w:vAnchor="text" w:hAnchor="page" w:x="1135" w:y="285" w:anchorLock="1"/>
    </w:pPr>
    <w:rPr>
      <w:i/>
    </w:rPr>
  </w:style>
  <w:style w:type="paragraph" w:customStyle="1" w:styleId="MiniTOCTitle">
    <w:name w:val="MiniTOCTitle"/>
    <w:basedOn w:val="Heading4"/>
    <w:rsid w:val="00772B26"/>
    <w:pPr>
      <w:spacing w:before="240"/>
      <w:outlineLvl w:val="9"/>
    </w:pPr>
    <w:rPr>
      <w:noProof/>
      <w:sz w:val="24"/>
    </w:rPr>
  </w:style>
  <w:style w:type="paragraph" w:customStyle="1" w:styleId="MiniTOCItem">
    <w:name w:val="MiniTOCItem"/>
    <w:basedOn w:val="ListBullet"/>
    <w:rsid w:val="00772B26"/>
    <w:pPr>
      <w:numPr>
        <w:numId w:val="0"/>
      </w:numPr>
      <w:tabs>
        <w:tab w:val="right" w:leader="dot" w:pos="6521"/>
      </w:tabs>
      <w:spacing w:before="0" w:after="0"/>
    </w:pPr>
  </w:style>
  <w:style w:type="paragraph" w:customStyle="1" w:styleId="TOFTitle">
    <w:name w:val="TOFTitle"/>
    <w:basedOn w:val="TOCTitle"/>
    <w:rsid w:val="00772B26"/>
  </w:style>
  <w:style w:type="paragraph" w:styleId="TableofFigures">
    <w:name w:val="table of figures"/>
    <w:basedOn w:val="Normal"/>
    <w:next w:val="Normal"/>
    <w:semiHidden/>
    <w:rsid w:val="00772B26"/>
    <w:pPr>
      <w:tabs>
        <w:tab w:val="right" w:leader="dot" w:pos="9072"/>
      </w:tabs>
      <w:ind w:left="970" w:hanging="403"/>
    </w:pPr>
    <w:rPr>
      <w:rFonts w:ascii="Times New Roman" w:hAnsi="Times New Roman"/>
      <w:b/>
    </w:rPr>
  </w:style>
  <w:style w:type="paragraph" w:styleId="ListNumber">
    <w:name w:val="List Number"/>
    <w:basedOn w:val="List"/>
    <w:rsid w:val="00772B26"/>
    <w:pPr>
      <w:numPr>
        <w:numId w:val="10"/>
      </w:numPr>
    </w:pPr>
  </w:style>
  <w:style w:type="character" w:customStyle="1" w:styleId="WingdingSymbols">
    <w:name w:val="Wingding Symbols"/>
    <w:rsid w:val="00772B26"/>
    <w:rPr>
      <w:rFonts w:ascii="Wingdings" w:hAnsi="Wingdings"/>
    </w:rPr>
  </w:style>
  <w:style w:type="paragraph" w:customStyle="1" w:styleId="TableHeading">
    <w:name w:val="Table Heading"/>
    <w:basedOn w:val="HeadingBase"/>
    <w:rsid w:val="00772B26"/>
    <w:pPr>
      <w:keepLines/>
      <w:pBdr>
        <w:bottom w:val="single" w:sz="6" w:space="1" w:color="918585"/>
      </w:pBdr>
      <w:spacing w:before="240"/>
    </w:pPr>
  </w:style>
  <w:style w:type="character" w:customStyle="1" w:styleId="HotSpot">
    <w:name w:val="HotSpot"/>
    <w:rsid w:val="00772B26"/>
    <w:rPr>
      <w:color w:val="0033CC"/>
      <w:u w:val="none"/>
    </w:rPr>
  </w:style>
  <w:style w:type="paragraph" w:customStyle="1" w:styleId="BodyTextRight">
    <w:name w:val="Body Text Right"/>
    <w:basedOn w:val="BodyText"/>
    <w:rsid w:val="00772B26"/>
    <w:pPr>
      <w:spacing w:before="0" w:after="0"/>
      <w:jc w:val="right"/>
    </w:pPr>
  </w:style>
  <w:style w:type="paragraph" w:styleId="Index3">
    <w:name w:val="index 3"/>
    <w:basedOn w:val="ListNumber2"/>
    <w:next w:val="Normal"/>
    <w:semiHidden/>
    <w:rsid w:val="00772B26"/>
    <w:pPr>
      <w:numPr>
        <w:numId w:val="0"/>
      </w:numPr>
      <w:tabs>
        <w:tab w:val="right" w:leader="dot" w:pos="4176"/>
      </w:tabs>
    </w:pPr>
  </w:style>
  <w:style w:type="paragraph" w:styleId="ListNumber2">
    <w:name w:val="List Number 2"/>
    <w:basedOn w:val="List2"/>
    <w:rsid w:val="00772B26"/>
    <w:pPr>
      <w:numPr>
        <w:numId w:val="9"/>
      </w:numPr>
      <w:tabs>
        <w:tab w:val="clear" w:pos="1060"/>
      </w:tabs>
    </w:pPr>
  </w:style>
  <w:style w:type="paragraph" w:customStyle="1" w:styleId="MarginNote">
    <w:name w:val="Margin Note"/>
    <w:basedOn w:val="BodyText"/>
    <w:rsid w:val="00772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B26"/>
    <w:rPr>
      <w:sz w:val="32"/>
    </w:rPr>
  </w:style>
  <w:style w:type="paragraph" w:customStyle="1" w:styleId="HeadingProcedure">
    <w:name w:val="Heading Procedure"/>
    <w:basedOn w:val="HeadingBase"/>
    <w:next w:val="Normal"/>
    <w:rsid w:val="00772B26"/>
    <w:pPr>
      <w:tabs>
        <w:tab w:val="left" w:pos="0"/>
      </w:tabs>
      <w:spacing w:before="120" w:after="60"/>
    </w:pPr>
    <w:rPr>
      <w:i/>
      <w:color w:val="918585"/>
      <w:sz w:val="22"/>
    </w:rPr>
  </w:style>
  <w:style w:type="paragraph" w:customStyle="1" w:styleId="TableBodyText">
    <w:name w:val="Table Body Text"/>
    <w:basedOn w:val="BodyText"/>
    <w:rsid w:val="00772B26"/>
    <w:pPr>
      <w:spacing w:before="60" w:after="60"/>
    </w:pPr>
  </w:style>
  <w:style w:type="paragraph" w:styleId="ListContinue">
    <w:name w:val="List Continue"/>
    <w:basedOn w:val="List"/>
    <w:rsid w:val="00772B26"/>
    <w:pPr>
      <w:ind w:firstLine="0"/>
    </w:pPr>
  </w:style>
  <w:style w:type="paragraph" w:customStyle="1" w:styleId="ListNote">
    <w:name w:val="List Note"/>
    <w:basedOn w:val="List"/>
    <w:rsid w:val="00772B26"/>
    <w:pPr>
      <w:pBdr>
        <w:top w:val="single" w:sz="6" w:space="2" w:color="918585"/>
        <w:bottom w:val="single" w:sz="6" w:space="2" w:color="918585"/>
      </w:pBdr>
      <w:tabs>
        <w:tab w:val="left" w:pos="1021"/>
      </w:tabs>
      <w:ind w:firstLine="0"/>
    </w:pPr>
  </w:style>
  <w:style w:type="paragraph" w:customStyle="1" w:styleId="Warning">
    <w:name w:val="Warning"/>
    <w:basedOn w:val="BodyText"/>
    <w:rsid w:val="00772B26"/>
    <w:pPr>
      <w:shd w:val="clear" w:color="auto" w:fill="D9D9D9"/>
      <w:tabs>
        <w:tab w:val="left" w:pos="992"/>
      </w:tabs>
      <w:ind w:left="119" w:right="119"/>
    </w:pPr>
    <w:rPr>
      <w:sz w:val="20"/>
    </w:rPr>
  </w:style>
  <w:style w:type="paragraph" w:customStyle="1" w:styleId="MarginIcons">
    <w:name w:val="Margin Icons"/>
    <w:basedOn w:val="BodyText"/>
    <w:rsid w:val="00772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B26"/>
    <w:rPr>
      <w:rFonts w:ascii="Courier New" w:hAnsi="Courier New"/>
    </w:rPr>
  </w:style>
  <w:style w:type="paragraph" w:customStyle="1" w:styleId="NoteBullet">
    <w:name w:val="Note Bullet"/>
    <w:basedOn w:val="Note"/>
    <w:rsid w:val="00772B26"/>
    <w:pPr>
      <w:tabs>
        <w:tab w:val="clear" w:pos="680"/>
      </w:tabs>
      <w:spacing w:before="60" w:after="60"/>
    </w:pPr>
  </w:style>
  <w:style w:type="paragraph" w:customStyle="1" w:styleId="SubHeading2">
    <w:name w:val="SubHeading2"/>
    <w:basedOn w:val="HeadingBase"/>
    <w:rsid w:val="00772B26"/>
    <w:pPr>
      <w:spacing w:before="240" w:after="60"/>
    </w:pPr>
    <w:rPr>
      <w:sz w:val="20"/>
    </w:rPr>
  </w:style>
  <w:style w:type="paragraph" w:customStyle="1" w:styleId="SubHeading1">
    <w:name w:val="SubHeading1"/>
    <w:basedOn w:val="HeadingBase"/>
    <w:rsid w:val="00772B26"/>
    <w:pPr>
      <w:spacing w:before="240" w:after="60"/>
    </w:pPr>
    <w:rPr>
      <w:color w:val="918585"/>
      <w:sz w:val="22"/>
    </w:rPr>
  </w:style>
  <w:style w:type="paragraph" w:customStyle="1" w:styleId="SideHeading">
    <w:name w:val="Side Heading"/>
    <w:basedOn w:val="HeadingBase"/>
    <w:rsid w:val="00772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B26"/>
    <w:pPr>
      <w:tabs>
        <w:tab w:val="num" w:pos="360"/>
      </w:tabs>
    </w:pPr>
  </w:style>
  <w:style w:type="paragraph" w:styleId="PlainText">
    <w:name w:val="Plain Text"/>
    <w:basedOn w:val="Normal"/>
    <w:link w:val="PlainTextChar"/>
    <w:rsid w:val="00772B26"/>
    <w:rPr>
      <w:sz w:val="20"/>
    </w:rPr>
  </w:style>
  <w:style w:type="character" w:customStyle="1" w:styleId="PlainTextChar">
    <w:name w:val="Plain Text Char"/>
    <w:basedOn w:val="DefaultParagraphFont"/>
    <w:link w:val="PlainText"/>
    <w:rsid w:val="00772B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B26"/>
    <w:rPr>
      <w:b/>
      <w:smallCaps/>
    </w:rPr>
  </w:style>
  <w:style w:type="paragraph" w:customStyle="1" w:styleId="TableListNumber">
    <w:name w:val="Table List Number"/>
    <w:basedOn w:val="ListNumber"/>
    <w:rsid w:val="00772B26"/>
    <w:pPr>
      <w:numPr>
        <w:numId w:val="0"/>
      </w:numPr>
    </w:pPr>
  </w:style>
  <w:style w:type="paragraph" w:styleId="TOC4">
    <w:name w:val="toc 4"/>
    <w:basedOn w:val="TOCBase"/>
    <w:next w:val="Normal"/>
    <w:semiHidden/>
    <w:rsid w:val="00772B26"/>
    <w:pPr>
      <w:tabs>
        <w:tab w:val="right" w:leader="dot" w:pos="9071"/>
      </w:tabs>
      <w:ind w:left="1701"/>
    </w:pPr>
  </w:style>
  <w:style w:type="paragraph" w:customStyle="1" w:styleId="ListAlpha">
    <w:name w:val="List Alpha"/>
    <w:basedOn w:val="List"/>
    <w:rsid w:val="00772B26"/>
    <w:pPr>
      <w:numPr>
        <w:numId w:val="8"/>
      </w:numPr>
    </w:pPr>
  </w:style>
  <w:style w:type="paragraph" w:customStyle="1" w:styleId="ListAlpha2">
    <w:name w:val="List Alpha 2"/>
    <w:basedOn w:val="List2"/>
    <w:rsid w:val="00772B26"/>
    <w:pPr>
      <w:numPr>
        <w:numId w:val="7"/>
      </w:numPr>
    </w:pPr>
  </w:style>
  <w:style w:type="paragraph" w:styleId="List3">
    <w:name w:val="List 3"/>
    <w:basedOn w:val="BodyText"/>
    <w:rsid w:val="00772B26"/>
    <w:pPr>
      <w:tabs>
        <w:tab w:val="left" w:pos="1021"/>
      </w:tabs>
      <w:spacing w:before="60" w:after="60"/>
      <w:ind w:left="1020" w:hanging="340"/>
    </w:pPr>
  </w:style>
  <w:style w:type="paragraph" w:styleId="List4">
    <w:name w:val="List 4"/>
    <w:basedOn w:val="BodyText"/>
    <w:rsid w:val="00772B26"/>
    <w:pPr>
      <w:tabs>
        <w:tab w:val="left" w:pos="1361"/>
      </w:tabs>
      <w:spacing w:before="60" w:after="60"/>
      <w:ind w:left="1361" w:hanging="340"/>
    </w:pPr>
  </w:style>
  <w:style w:type="paragraph" w:styleId="List5">
    <w:name w:val="List 5"/>
    <w:basedOn w:val="BodyText"/>
    <w:rsid w:val="00772B26"/>
    <w:pPr>
      <w:tabs>
        <w:tab w:val="left" w:pos="1701"/>
      </w:tabs>
      <w:spacing w:before="60" w:after="60"/>
      <w:ind w:left="1701" w:hanging="340"/>
    </w:pPr>
  </w:style>
  <w:style w:type="paragraph" w:styleId="ListBullet3">
    <w:name w:val="List Bullet 3"/>
    <w:basedOn w:val="List3"/>
    <w:rsid w:val="00772B26"/>
    <w:pPr>
      <w:numPr>
        <w:numId w:val="14"/>
      </w:numPr>
      <w:tabs>
        <w:tab w:val="clear" w:pos="1021"/>
      </w:tabs>
      <w:ind w:left="1037" w:hanging="357"/>
    </w:pPr>
  </w:style>
  <w:style w:type="paragraph" w:styleId="ListBullet4">
    <w:name w:val="List Bullet 4"/>
    <w:basedOn w:val="List4"/>
    <w:rsid w:val="00772B26"/>
    <w:pPr>
      <w:numPr>
        <w:numId w:val="2"/>
      </w:numPr>
    </w:pPr>
  </w:style>
  <w:style w:type="paragraph" w:styleId="ListBullet5">
    <w:name w:val="List Bullet 5"/>
    <w:basedOn w:val="List5"/>
    <w:rsid w:val="00772B26"/>
    <w:pPr>
      <w:numPr>
        <w:numId w:val="3"/>
      </w:numPr>
    </w:pPr>
  </w:style>
  <w:style w:type="paragraph" w:styleId="ListContinue2">
    <w:name w:val="List Continue 2"/>
    <w:basedOn w:val="List2"/>
    <w:rsid w:val="00772B26"/>
    <w:pPr>
      <w:ind w:firstLine="0"/>
    </w:pPr>
  </w:style>
  <w:style w:type="paragraph" w:styleId="ListContinue3">
    <w:name w:val="List Continue 3"/>
    <w:basedOn w:val="List3"/>
    <w:rsid w:val="00772B26"/>
    <w:pPr>
      <w:ind w:left="1021" w:firstLine="0"/>
    </w:pPr>
  </w:style>
  <w:style w:type="paragraph" w:styleId="ListContinue4">
    <w:name w:val="List Continue 4"/>
    <w:basedOn w:val="List4"/>
    <w:rsid w:val="00772B26"/>
    <w:pPr>
      <w:ind w:firstLine="0"/>
    </w:pPr>
  </w:style>
  <w:style w:type="paragraph" w:styleId="ListContinue5">
    <w:name w:val="List Continue 5"/>
    <w:basedOn w:val="List5"/>
    <w:rsid w:val="00772B26"/>
    <w:pPr>
      <w:ind w:firstLine="0"/>
    </w:pPr>
  </w:style>
  <w:style w:type="paragraph" w:styleId="ListNumber3">
    <w:name w:val="List Number 3"/>
    <w:basedOn w:val="List3"/>
    <w:rsid w:val="00772B26"/>
    <w:pPr>
      <w:numPr>
        <w:numId w:val="4"/>
      </w:numPr>
    </w:pPr>
  </w:style>
  <w:style w:type="paragraph" w:styleId="ListNumber4">
    <w:name w:val="List Number 4"/>
    <w:basedOn w:val="List4"/>
    <w:rsid w:val="00772B26"/>
    <w:pPr>
      <w:numPr>
        <w:numId w:val="5"/>
      </w:numPr>
    </w:pPr>
  </w:style>
  <w:style w:type="paragraph" w:styleId="ListNumber5">
    <w:name w:val="List Number 5"/>
    <w:basedOn w:val="List5"/>
    <w:rsid w:val="00772B26"/>
    <w:pPr>
      <w:numPr>
        <w:numId w:val="6"/>
      </w:numPr>
    </w:pPr>
  </w:style>
  <w:style w:type="paragraph" w:styleId="BlockText">
    <w:name w:val="Block Text"/>
    <w:basedOn w:val="Normal"/>
    <w:rsid w:val="00772B26"/>
    <w:pPr>
      <w:spacing w:after="120"/>
      <w:ind w:left="1440" w:right="1440"/>
    </w:pPr>
  </w:style>
  <w:style w:type="character" w:customStyle="1" w:styleId="Subscript">
    <w:name w:val="Subscript"/>
    <w:basedOn w:val="DefaultParagraphFont"/>
    <w:rsid w:val="00772B26"/>
    <w:rPr>
      <w:sz w:val="16"/>
      <w:vertAlign w:val="subscript"/>
    </w:rPr>
  </w:style>
  <w:style w:type="character" w:customStyle="1" w:styleId="Superscript">
    <w:name w:val="Superscript"/>
    <w:basedOn w:val="DefaultParagraphFont"/>
    <w:rsid w:val="00772B26"/>
    <w:rPr>
      <w:sz w:val="16"/>
      <w:vertAlign w:val="superscript"/>
    </w:rPr>
  </w:style>
  <w:style w:type="character" w:customStyle="1" w:styleId="Symbols">
    <w:name w:val="Symbols"/>
    <w:basedOn w:val="DefaultParagraphFont"/>
    <w:rsid w:val="00772B26"/>
    <w:rPr>
      <w:rFonts w:ascii="Symbol" w:hAnsi="Symbol"/>
    </w:rPr>
  </w:style>
  <w:style w:type="character" w:customStyle="1" w:styleId="MenuOptions">
    <w:name w:val="Menu Options"/>
    <w:basedOn w:val="DefaultParagraphFont"/>
    <w:rsid w:val="00772B26"/>
    <w:rPr>
      <w:rFonts w:ascii="Arial Narrow" w:hAnsi="Arial Narrow"/>
      <w:smallCaps/>
    </w:rPr>
  </w:style>
  <w:style w:type="character" w:customStyle="1" w:styleId="Buttons">
    <w:name w:val="Buttons"/>
    <w:basedOn w:val="DefaultParagraphFont"/>
    <w:rsid w:val="00772B26"/>
    <w:rPr>
      <w:b/>
    </w:rPr>
  </w:style>
  <w:style w:type="character" w:customStyle="1" w:styleId="Underlined">
    <w:name w:val="Underlined"/>
    <w:basedOn w:val="DefaultParagraphFont"/>
    <w:rsid w:val="00772B26"/>
    <w:rPr>
      <w:u w:val="single"/>
    </w:rPr>
  </w:style>
  <w:style w:type="paragraph" w:customStyle="1" w:styleId="TableBodyTextRight">
    <w:name w:val="Table Body Text Right"/>
    <w:basedOn w:val="TableBodyText"/>
    <w:rsid w:val="00772B26"/>
    <w:pPr>
      <w:widowControl w:val="0"/>
      <w:autoSpaceDE w:val="0"/>
      <w:autoSpaceDN w:val="0"/>
      <w:adjustRightInd w:val="0"/>
      <w:jc w:val="right"/>
    </w:pPr>
    <w:rPr>
      <w:rFonts w:cs="Arial"/>
      <w:szCs w:val="18"/>
    </w:rPr>
  </w:style>
  <w:style w:type="paragraph" w:customStyle="1" w:styleId="CopyrightText">
    <w:name w:val="Copyright Text"/>
    <w:basedOn w:val="BodyText"/>
    <w:rsid w:val="00772B26"/>
    <w:rPr>
      <w:sz w:val="18"/>
    </w:rPr>
  </w:style>
  <w:style w:type="paragraph" w:customStyle="1" w:styleId="BodySmallRight">
    <w:name w:val="Body Small Right"/>
    <w:basedOn w:val="BodyTextRight"/>
    <w:rsid w:val="00772B26"/>
    <w:rPr>
      <w:sz w:val="18"/>
      <w:szCs w:val="18"/>
    </w:rPr>
  </w:style>
  <w:style w:type="paragraph" w:customStyle="1" w:styleId="MarginEdition">
    <w:name w:val="Margin Edition"/>
    <w:basedOn w:val="MarginNote"/>
    <w:rsid w:val="00772B26"/>
    <w:pPr>
      <w:spacing w:before="0" w:after="0"/>
    </w:pPr>
    <w:rPr>
      <w:rFonts w:ascii="Times New Roman" w:hAnsi="Times New Roman"/>
      <w:color w:val="999999"/>
    </w:rPr>
  </w:style>
  <w:style w:type="paragraph" w:customStyle="1" w:styleId="Spacer">
    <w:name w:val="Spacer"/>
    <w:basedOn w:val="Normal"/>
    <w:rsid w:val="00772B26"/>
    <w:rPr>
      <w:sz w:val="2"/>
      <w:szCs w:val="2"/>
    </w:rPr>
  </w:style>
  <w:style w:type="character" w:customStyle="1" w:styleId="Small">
    <w:name w:val="Small"/>
    <w:basedOn w:val="DefaultParagraphFont"/>
    <w:rsid w:val="00772B26"/>
    <w:rPr>
      <w:sz w:val="16"/>
    </w:rPr>
  </w:style>
  <w:style w:type="paragraph" w:customStyle="1" w:styleId="WideTable">
    <w:name w:val="Wide Table"/>
    <w:basedOn w:val="Normal"/>
    <w:rsid w:val="00772B26"/>
    <w:pPr>
      <w:ind w:left="-1418"/>
    </w:pPr>
    <w:rPr>
      <w:sz w:val="2"/>
      <w:szCs w:val="2"/>
    </w:rPr>
  </w:style>
  <w:style w:type="character" w:styleId="PageNumber">
    <w:name w:val="page number"/>
    <w:basedOn w:val="DefaultParagraphFont"/>
    <w:rsid w:val="00772B26"/>
  </w:style>
  <w:style w:type="paragraph" w:styleId="Quote">
    <w:name w:val="Quote"/>
    <w:basedOn w:val="Heading1"/>
    <w:link w:val="QuoteChar"/>
    <w:qFormat/>
    <w:rsid w:val="00772B26"/>
    <w:rPr>
      <w:b w:val="0"/>
      <w:sz w:val="72"/>
      <w:szCs w:val="72"/>
      <w:lang w:val="en-NZ"/>
    </w:rPr>
  </w:style>
  <w:style w:type="character" w:customStyle="1" w:styleId="QuoteChar">
    <w:name w:val="Quote Char"/>
    <w:basedOn w:val="DefaultParagraphFont"/>
    <w:link w:val="Quote"/>
    <w:rsid w:val="00772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B26"/>
    <w:pPr>
      <w:pageBreakBefore/>
    </w:pPr>
  </w:style>
  <w:style w:type="paragraph" w:customStyle="1" w:styleId="Border">
    <w:name w:val="Border"/>
    <w:basedOn w:val="Normal"/>
    <w:qFormat/>
    <w:rsid w:val="00772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B26"/>
    <w:rPr>
      <w:b/>
      <w:bCs/>
      <w:i/>
      <w:iCs/>
      <w:color w:val="auto"/>
    </w:rPr>
  </w:style>
  <w:style w:type="paragraph" w:styleId="IntenseQuote">
    <w:name w:val="Intense Quote"/>
    <w:basedOn w:val="Normal"/>
    <w:next w:val="Normal"/>
    <w:link w:val="IntenseQuoteChar"/>
    <w:uiPriority w:val="30"/>
    <w:qFormat/>
    <w:rsid w:val="00772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B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B26"/>
    <w:rPr>
      <w:smallCaps/>
      <w:color w:val="auto"/>
      <w:u w:val="single"/>
    </w:rPr>
  </w:style>
  <w:style w:type="character" w:styleId="IntenseReference">
    <w:name w:val="Intense Reference"/>
    <w:basedOn w:val="DefaultParagraphFont"/>
    <w:uiPriority w:val="32"/>
    <w:qFormat/>
    <w:rsid w:val="00772B26"/>
    <w:rPr>
      <w:b/>
      <w:bCs/>
      <w:smallCaps/>
      <w:color w:val="auto"/>
      <w:spacing w:val="5"/>
      <w:u w:val="single"/>
    </w:rPr>
  </w:style>
  <w:style w:type="paragraph" w:customStyle="1" w:styleId="2ColumnHeading">
    <w:name w:val="2Column Heading"/>
    <w:basedOn w:val="BodyText"/>
    <w:qFormat/>
    <w:rsid w:val="00772B26"/>
    <w:pPr>
      <w:spacing w:after="60"/>
      <w:ind w:left="-2268"/>
    </w:pPr>
    <w:rPr>
      <w:b/>
    </w:rPr>
  </w:style>
  <w:style w:type="paragraph" w:customStyle="1" w:styleId="Heading1TOC">
    <w:name w:val="Heading1 TOC"/>
    <w:basedOn w:val="Normal"/>
    <w:qFormat/>
    <w:rsid w:val="00772B26"/>
    <w:pPr>
      <w:spacing w:before="240" w:after="120"/>
    </w:pPr>
    <w:rPr>
      <w:rFonts w:ascii="Times New Roman" w:hAnsi="Times New Roman"/>
      <w:b/>
      <w:sz w:val="32"/>
    </w:rPr>
  </w:style>
  <w:style w:type="paragraph" w:customStyle="1" w:styleId="Heading2TOC">
    <w:name w:val="Heading2 TOC"/>
    <w:basedOn w:val="Normal"/>
    <w:qFormat/>
    <w:rsid w:val="00772B26"/>
    <w:pPr>
      <w:spacing w:before="240" w:after="60"/>
    </w:pPr>
    <w:rPr>
      <w:rFonts w:ascii="Times New Roman" w:hAnsi="Times New Roman"/>
      <w:b/>
      <w:sz w:val="28"/>
    </w:rPr>
  </w:style>
  <w:style w:type="character" w:customStyle="1" w:styleId="Underline">
    <w:name w:val="Underline"/>
    <w:basedOn w:val="DefaultParagraphFont"/>
    <w:qFormat/>
    <w:rsid w:val="00772B26"/>
    <w:rPr>
      <w:u w:val="single"/>
    </w:rPr>
  </w:style>
  <w:style w:type="paragraph" w:styleId="BalloonText">
    <w:name w:val="Balloon Text"/>
    <w:basedOn w:val="Normal"/>
    <w:link w:val="BalloonTextChar"/>
    <w:rsid w:val="00772B26"/>
    <w:rPr>
      <w:rFonts w:ascii="Tahoma" w:hAnsi="Tahoma" w:cs="Tahoma"/>
      <w:sz w:val="16"/>
      <w:szCs w:val="16"/>
    </w:rPr>
  </w:style>
  <w:style w:type="character" w:customStyle="1" w:styleId="BalloonTextChar">
    <w:name w:val="Balloon Text Char"/>
    <w:basedOn w:val="DefaultParagraphFont"/>
    <w:link w:val="BalloonText"/>
    <w:rsid w:val="00772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B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933</Words>
  <Characters>5798</Characters>
  <Application>Microsoft Office Word</Application>
  <DocSecurity>0</DocSecurity>
  <Lines>228</Lines>
  <Paragraphs>116</Paragraphs>
  <ScaleCrop>false</ScaleCrop>
  <Company>Author-it Software Corporation Ltd.</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ICPPR284A Introduction to colour management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2012-05-27T01:14:00Z</dcterms:created>
  <dcterms:modified xsi:type="dcterms:W3CDTF">2012-05-27T01:14:00Z</dcterms:modified>
</cp:coreProperties>
</file>