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882" w:rsidP="00A12882">
      <w:pPr>
        <w:pStyle w:val="Title"/>
      </w:pPr>
      <w:r>
        <w:fldChar w:fldCharType="begin"/>
      </w:r>
      <w:r>
        <w:instrText xml:space="preserve"> TITLE   \* MERGEFORMAT </w:instrText>
      </w:r>
      <w:r>
        <w:fldChar w:fldCharType="separate"/>
      </w:r>
      <w:r>
        <w:t>ICPPP272C Produce gravure cylinders manually</w:t>
      </w:r>
      <w:r>
        <w:fldChar w:fldCharType="end"/>
      </w:r>
    </w:p>
    <w:p w:rsidR="00A12882" w:rsidP="00A12882">
      <w:pPr>
        <w:pStyle w:val="Version"/>
        <w:sectPr w:rsidSect="00AD4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412A" w:rsidP="00AD412A">
      <w:pPr>
        <w:pStyle w:val="SuperHeading"/>
      </w:pPr>
      <w:r w:rsidRPr="00AD412A">
        <w:t>ICPPP272C Produce gravure cylinders manually</w:t>
      </w:r>
    </w:p>
    <w:p w:rsidR="00000000" w:rsidRPr="00AD412A" w:rsidP="00AD412A">
      <w:pPr>
        <w:pStyle w:val="SuperHeading"/>
      </w:pPr>
    </w:p>
    <w:p w:rsidR="00000000" w:rsidRPr="00AD412A" w:rsidP="00AD412A">
      <w:pPr>
        <w:pStyle w:val="Heading1"/>
      </w:pPr>
      <w:bookmarkStart w:id="1" w:name="O_82443"/>
      <w:bookmarkEnd w:id="1"/>
      <w:r w:rsidRPr="00AD412A">
        <w:t>Modification History</w:t>
      </w:r>
    </w:p>
    <w:p w:rsidR="00000000" w:rsidRPr="00AD412A" w:rsidP="00AD412A">
      <w:pPr>
        <w:pStyle w:val="BodyText"/>
      </w:pPr>
      <w:r w:rsidRPr="00AD412A">
        <w:t>Not applicable.</w:t>
      </w:r>
    </w:p>
    <w:p w:rsidR="00000000" w:rsidRPr="00AD412A" w:rsidP="00AD412A">
      <w:pPr>
        <w:pStyle w:val="AllowPageBreak"/>
      </w:pPr>
    </w:p>
    <w:p w:rsidR="00000000" w:rsidRPr="00AD412A" w:rsidP="00AD412A">
      <w:pPr>
        <w:pStyle w:val="Heading1"/>
      </w:pPr>
      <w:bookmarkStart w:id="2" w:name="O_82444"/>
      <w:bookmarkEnd w:id="2"/>
      <w:r w:rsidRPr="00AD412A">
        <w:t>Unit Descriptor</w:t>
      </w:r>
    </w:p>
    <w:tbl>
      <w:tblPr>
        <w:tblW w:w="0" w:type="auto"/>
        <w:tblLayout w:type="fixed"/>
        <w:tblCellMar>
          <w:left w:w="62" w:type="dxa"/>
          <w:right w:w="62" w:type="dxa"/>
        </w:tblCellMar>
        <w:tblLook w:val="0000"/>
      </w:tblPr>
      <w:tblGrid>
        <w:gridCol w:w="2670"/>
        <w:gridCol w:w="5852"/>
      </w:tblGrid>
      <w:tr w:rsidTr="00A1288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This unit describes the performance outcomes, skills and knowledge required to manually make gra</w:t>
            </w:r>
            <w:r w:rsidRPr="00AD412A">
              <w:t>vure cylinders.</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3" w:name="O_82445"/>
      <w:bookmarkEnd w:id="3"/>
      <w:r w:rsidRPr="00AD412A">
        <w:t>Application of the Unit</w:t>
      </w:r>
    </w:p>
    <w:tbl>
      <w:tblPr>
        <w:tblW w:w="0" w:type="auto"/>
        <w:tblLayout w:type="fixed"/>
        <w:tblCellMar>
          <w:left w:w="62" w:type="dxa"/>
          <w:right w:w="62" w:type="dxa"/>
        </w:tblCellMar>
        <w:tblLook w:val="0000"/>
      </w:tblPr>
      <w:tblGrid>
        <w:gridCol w:w="2756"/>
        <w:gridCol w:w="5766"/>
      </w:tblGrid>
      <w:tr w:rsidTr="00A1288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This unit requires the individual to manually make gravure cylinders and establish and maintain a chemical register.</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4" w:name="O_82446"/>
      <w:bookmarkEnd w:id="4"/>
      <w:r w:rsidRPr="00AD412A">
        <w:t>Licensing/Regulatory Information</w:t>
      </w:r>
    </w:p>
    <w:p w:rsidR="00000000" w:rsidRPr="00AD412A" w:rsidP="00AD412A">
      <w:pPr>
        <w:pStyle w:val="BodyText"/>
      </w:pPr>
      <w:r w:rsidRPr="00AD412A">
        <w:t>Not applicable.</w:t>
      </w:r>
    </w:p>
    <w:p w:rsidR="00000000" w:rsidRPr="00AD412A" w:rsidP="00AD412A">
      <w:pPr>
        <w:pStyle w:val="AllowPageBreak"/>
      </w:pPr>
    </w:p>
    <w:p w:rsidR="00000000" w:rsidRPr="00AD412A" w:rsidP="00AD412A">
      <w:pPr>
        <w:pStyle w:val="Heading1"/>
      </w:pPr>
      <w:bookmarkStart w:id="5" w:name="O_82447"/>
      <w:bookmarkEnd w:id="5"/>
      <w:r w:rsidRPr="00AD412A">
        <w:t>Pre-Requisites</w:t>
      </w:r>
    </w:p>
    <w:tbl>
      <w:tblPr>
        <w:tblW w:w="0" w:type="auto"/>
        <w:tblLayout w:type="fixed"/>
        <w:tblCellMar>
          <w:left w:w="62" w:type="dxa"/>
          <w:right w:w="62" w:type="dxa"/>
        </w:tblCellMar>
        <w:tblLook w:val="0000"/>
      </w:tblPr>
      <w:tblGrid>
        <w:gridCol w:w="2775"/>
        <w:gridCol w:w="1295"/>
        <w:gridCol w:w="4452"/>
      </w:tblGrid>
      <w:tr w:rsidTr="00A1288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p>
        </w:tc>
      </w:tr>
      <w:tr w:rsidTr="00A12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p>
        </w:tc>
      </w:tr>
      <w:tr w:rsidTr="00A1288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6" w:name="O_82448"/>
      <w:bookmarkEnd w:id="6"/>
      <w:r w:rsidRPr="00AD412A">
        <w:t>Employability Skills Information</w:t>
      </w:r>
    </w:p>
    <w:tbl>
      <w:tblPr>
        <w:tblW w:w="0" w:type="auto"/>
        <w:tblLayout w:type="fixed"/>
        <w:tblCellMar>
          <w:left w:w="62" w:type="dxa"/>
          <w:right w:w="62" w:type="dxa"/>
        </w:tblCellMar>
        <w:tblLook w:val="0000"/>
      </w:tblPr>
      <w:tblGrid>
        <w:gridCol w:w="2802"/>
        <w:gridCol w:w="5720"/>
      </w:tblGrid>
      <w:tr w:rsidTr="00A128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This unit contains employability skills.</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7" w:name="O_82449"/>
      <w:bookmarkEnd w:id="7"/>
      <w:r w:rsidRPr="00AD412A">
        <w:t>Elements and Performance Criteria Pre-Content</w:t>
      </w:r>
    </w:p>
    <w:tbl>
      <w:tblPr>
        <w:tblW w:w="0" w:type="auto"/>
        <w:tblLayout w:type="fixed"/>
        <w:tblCellMar>
          <w:left w:w="62" w:type="dxa"/>
          <w:right w:w="62" w:type="dxa"/>
        </w:tblCellMar>
        <w:tblLook w:val="0000"/>
      </w:tblPr>
      <w:tblGrid>
        <w:gridCol w:w="2554"/>
        <w:gridCol w:w="5968"/>
      </w:tblGrid>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Performance criteria describe the performance needed to demonstrate achievement of the element. Where bold italicised text is used, further information is detailed in the required skills and</w:t>
            </w:r>
            <w:r w:rsidRPr="00AD412A">
              <w:t xml:space="preserve"> knowledge section and the range statement. Assessment of performance is to be consistent with the evidence guide.</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8" w:name="O_82450"/>
      <w:bookmarkEnd w:id="8"/>
      <w:r w:rsidRPr="00AD412A">
        <w:t>Elements and Performance Criteria</w:t>
      </w:r>
    </w:p>
    <w:tbl>
      <w:tblPr>
        <w:tblW w:w="0" w:type="auto"/>
        <w:tblLayout w:type="fixed"/>
        <w:tblCellMar>
          <w:left w:w="62" w:type="dxa"/>
          <w:right w:w="62" w:type="dxa"/>
        </w:tblCellMar>
        <w:tblLook w:val="0000"/>
      </w:tblPr>
      <w:tblGrid>
        <w:gridCol w:w="2554"/>
        <w:gridCol w:w="5968"/>
      </w:tblGrid>
      <w:tr w:rsidTr="00A12882">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PERFORMANCE CRITERIA</w:t>
            </w:r>
          </w:p>
        </w:tc>
      </w:tr>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
              <w:rPr>
                <w:lang w:val="en-NZ"/>
              </w:rPr>
            </w:pPr>
            <w:r w:rsidRPr="00AD412A">
              <w:t>1.</w:t>
            </w:r>
            <w:r w:rsidRPr="00AD412A">
              <w:tab/>
              <w:t>Select the plate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2"/>
            </w:pPr>
            <w:r w:rsidRPr="00AD412A">
              <w:t>1.1.</w:t>
            </w:r>
            <w:r w:rsidRPr="00AD412A">
              <w:tab/>
            </w:r>
            <w:r w:rsidRPr="00AD412A">
              <w:t>The job specifications are interpreted to determine the appropriate type of cylinder base and/or shell for the job</w:t>
            </w:r>
          </w:p>
          <w:p w:rsidR="00000000" w:rsidP="00AD412A">
            <w:pPr>
              <w:pStyle w:val="List2"/>
              <w:rPr>
                <w:lang w:val="en-NZ"/>
              </w:rPr>
            </w:pPr>
            <w:r w:rsidRPr="00AD412A">
              <w:t>1.2.</w:t>
            </w:r>
            <w:r w:rsidRPr="00AD412A">
              <w:tab/>
              <w:t xml:space="preserve">The cylinder and/or shell is selected to deliver the quality of </w:t>
            </w:r>
            <w:r w:rsidRPr="00AD412A">
              <w:rPr>
                <w:rStyle w:val="BoldandItalics"/>
              </w:rPr>
              <w:t>output</w:t>
            </w:r>
            <w:r w:rsidRPr="00AD412A">
              <w:t xml:space="preserve"> required by the job brief</w:t>
            </w:r>
          </w:p>
        </w:tc>
      </w:tr>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
              <w:rPr>
                <w:lang w:val="en-NZ"/>
              </w:rPr>
            </w:pPr>
            <w:r w:rsidRPr="00AD412A">
              <w:t>2.</w:t>
            </w:r>
            <w:r w:rsidRPr="00AD412A">
              <w:tab/>
              <w:t>Pre-plan the process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2"/>
            </w:pPr>
            <w:r w:rsidRPr="00AD412A">
              <w:t>2.1.</w:t>
            </w:r>
            <w:r w:rsidRPr="00AD412A">
              <w:tab/>
              <w:t xml:space="preserve">The work </w:t>
            </w:r>
            <w:r w:rsidRPr="00AD412A">
              <w:t xml:space="preserve">area is tidied and cleaned to ensure </w:t>
            </w:r>
            <w:r w:rsidRPr="00AD412A">
              <w:rPr>
                <w:rStyle w:val="BoldandItalics"/>
              </w:rPr>
              <w:t>quality</w:t>
            </w:r>
            <w:r w:rsidRPr="00AD412A">
              <w:t xml:space="preserve"> of output and a safe work site</w:t>
            </w:r>
          </w:p>
          <w:p w:rsidR="00000000" w:rsidRPr="00AD412A" w:rsidP="00AD412A">
            <w:pPr>
              <w:pStyle w:val="List2"/>
            </w:pPr>
            <w:r w:rsidRPr="00AD412A">
              <w:t>2.2.</w:t>
            </w:r>
            <w:r w:rsidRPr="00AD412A">
              <w:tab/>
              <w:t>The exposure and coating equipment is maintained according to manufacturer's specifications and safety requirements</w:t>
            </w:r>
          </w:p>
          <w:p w:rsidR="00000000" w:rsidRPr="00AD412A" w:rsidP="00AD412A">
            <w:pPr>
              <w:pStyle w:val="List2"/>
            </w:pPr>
            <w:r w:rsidRPr="00AD412A">
              <w:t>2.3.</w:t>
            </w:r>
            <w:r w:rsidRPr="00AD412A">
              <w:tab/>
              <w:t>Exposure is controlled using step wedges and densitome</w:t>
            </w:r>
            <w:r w:rsidRPr="00AD412A">
              <w:t>try</w:t>
            </w:r>
          </w:p>
          <w:p w:rsidR="00000000" w:rsidRPr="00AD412A" w:rsidP="00AD412A">
            <w:pPr>
              <w:pStyle w:val="List2"/>
            </w:pPr>
            <w:r w:rsidRPr="00AD412A">
              <w:t>2.4.</w:t>
            </w:r>
            <w:r w:rsidRPr="00AD412A">
              <w:tab/>
              <w:t>The cylinder is coated according to manufacturer's specifications</w:t>
            </w:r>
          </w:p>
          <w:p w:rsidR="00000000" w:rsidRPr="00AD412A" w:rsidP="00AD412A">
            <w:pPr>
              <w:pStyle w:val="List2"/>
            </w:pPr>
            <w:r w:rsidRPr="00AD412A">
              <w:t>2.5.</w:t>
            </w:r>
            <w:r w:rsidRPr="00AD412A">
              <w:tab/>
              <w:t>The cylinder is exposed making sure image direction, autotrons and tracker lines are correctly positioned according to job specifications</w:t>
            </w:r>
          </w:p>
          <w:p w:rsidR="00000000" w:rsidP="00AD412A">
            <w:pPr>
              <w:pStyle w:val="List2"/>
              <w:rPr>
                <w:lang w:val="en-NZ"/>
              </w:rPr>
            </w:pPr>
            <w:r w:rsidRPr="00AD412A">
              <w:t>2.6.</w:t>
            </w:r>
            <w:r w:rsidRPr="00AD412A">
              <w:tab/>
              <w:t>OHS requirements are observed whe</w:t>
            </w:r>
            <w:r w:rsidRPr="00AD412A">
              <w:t>n handling chemicals</w:t>
            </w:r>
          </w:p>
        </w:tc>
      </w:tr>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
              <w:rPr>
                <w:lang w:val="en-NZ"/>
              </w:rPr>
            </w:pPr>
            <w:r w:rsidRPr="00AD412A">
              <w:t>3.</w:t>
            </w:r>
            <w:r w:rsidRPr="00AD412A">
              <w:tab/>
              <w:t>Expose the plate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2"/>
            </w:pPr>
            <w:r w:rsidRPr="00AD412A">
              <w:t>3.1.</w:t>
            </w:r>
            <w:r w:rsidRPr="00AD412A">
              <w:tab/>
              <w:t>The chemical balance is checked and maintained in the developing tank</w:t>
            </w:r>
          </w:p>
          <w:p w:rsidR="00000000" w:rsidP="00AD412A">
            <w:pPr>
              <w:pStyle w:val="List2"/>
              <w:rPr>
                <w:lang w:val="en-NZ"/>
              </w:rPr>
            </w:pPr>
            <w:r w:rsidRPr="00AD412A">
              <w:t>3.2.</w:t>
            </w:r>
            <w:r w:rsidRPr="00AD412A">
              <w:tab/>
              <w:t>The cylinder is developed according to manufacturer's specifications, enterprise procedures and safety requirements</w:t>
            </w:r>
          </w:p>
        </w:tc>
      </w:tr>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
              <w:rPr>
                <w:lang w:val="en-NZ"/>
              </w:rPr>
            </w:pPr>
            <w:r w:rsidRPr="00AD412A">
              <w:t>4.</w:t>
            </w:r>
            <w:r w:rsidRPr="00AD412A">
              <w:tab/>
            </w:r>
            <w:r w:rsidRPr="00AD412A">
              <w:t>Develop the plate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2"/>
            </w:pPr>
            <w:r w:rsidRPr="00AD412A">
              <w:t>4.1.</w:t>
            </w:r>
            <w:r w:rsidRPr="00AD412A">
              <w:tab/>
              <w:t>The etching bath is maintained to the correct activity level according to manufacturer's specifications and enterprise procedures</w:t>
            </w:r>
          </w:p>
          <w:p w:rsidR="00000000" w:rsidP="00AD412A">
            <w:pPr>
              <w:pStyle w:val="List2"/>
              <w:rPr>
                <w:lang w:val="en-NZ"/>
              </w:rPr>
            </w:pPr>
            <w:r w:rsidRPr="00AD412A">
              <w:t>4.2.</w:t>
            </w:r>
            <w:r w:rsidRPr="00AD412A">
              <w:tab/>
              <w:t>The cylinder is etched according to the job specifications (cell depth)</w:t>
            </w:r>
          </w:p>
        </w:tc>
      </w:tr>
      <w:tr w:rsidTr="00A1288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
              <w:rPr>
                <w:lang w:val="en-NZ"/>
              </w:rPr>
            </w:pPr>
            <w:r w:rsidRPr="00AD412A">
              <w:t>5.</w:t>
            </w:r>
            <w:r w:rsidRPr="00AD412A">
              <w:tab/>
              <w:t>Finish the plate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2"/>
            </w:pPr>
            <w:r w:rsidRPr="00AD412A">
              <w:t>5.1.</w:t>
            </w:r>
            <w:r w:rsidRPr="00AD412A">
              <w:tab/>
            </w:r>
            <w:r w:rsidRPr="00AD412A">
              <w:t>A chemical register is established to identify and describe the purpose of each chemical and to ensure finished cylinders meet set specifications</w:t>
            </w:r>
          </w:p>
          <w:p w:rsidR="00000000" w:rsidRPr="00AD412A" w:rsidP="00AD412A">
            <w:pPr>
              <w:pStyle w:val="List2"/>
            </w:pPr>
            <w:r w:rsidRPr="00AD412A">
              <w:t>5.2.</w:t>
            </w:r>
            <w:r w:rsidRPr="00AD412A">
              <w:tab/>
              <w:t>All chemicals used in the workplace are identified and registered correctly according to safe working pra</w:t>
            </w:r>
            <w:r w:rsidRPr="00AD412A">
              <w:t>ctices environment when making plates</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9" w:name="O_82451"/>
      <w:bookmarkEnd w:id="9"/>
      <w:r w:rsidRPr="00AD412A">
        <w:t>Required Skills and Knowledge</w:t>
      </w:r>
    </w:p>
    <w:tbl>
      <w:tblPr>
        <w:tblW w:w="0" w:type="auto"/>
        <w:tblLayout w:type="fixed"/>
        <w:tblCellMar>
          <w:left w:w="62" w:type="dxa"/>
          <w:right w:w="62" w:type="dxa"/>
        </w:tblCellMar>
        <w:tblLook w:val="0000"/>
      </w:tblPr>
      <w:tblGrid>
        <w:gridCol w:w="8522"/>
      </w:tblGrid>
      <w:tr w:rsidTr="00A128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REQUIRED SKILLS AND KNOWLEDGE</w:t>
            </w:r>
          </w:p>
        </w:tc>
      </w:tr>
      <w:tr w:rsidTr="00A128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t>This section describes the skills and knowledge required for this unit.</w:t>
            </w:r>
          </w:p>
        </w:tc>
      </w:tr>
      <w:tr w:rsidTr="00A1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Required skills</w:t>
            </w:r>
          </w:p>
        </w:tc>
      </w:tr>
      <w:tr w:rsidTr="00A1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Bullet"/>
            </w:pPr>
            <w:r w:rsidRPr="00AD412A">
              <w:t>OHS in relation to operating machinery such as safely switching off machinery before cleaning is started</w:t>
            </w:r>
          </w:p>
          <w:p w:rsidR="00000000" w:rsidRPr="00AD412A" w:rsidP="00AD412A">
            <w:pPr>
              <w:pStyle w:val="ListBullet"/>
            </w:pPr>
            <w:r w:rsidRPr="00AD412A">
              <w:t>communication of ideas and information by interpreting the job brief</w:t>
            </w:r>
          </w:p>
          <w:p w:rsidR="00000000" w:rsidRPr="00AD412A" w:rsidP="00AD412A">
            <w:pPr>
              <w:pStyle w:val="ListBullet"/>
            </w:pPr>
            <w:r w:rsidRPr="00AD412A">
              <w:t>collecting, analysing and organising information by matching the job brief with production requirements</w:t>
            </w:r>
          </w:p>
          <w:p w:rsidR="00000000" w:rsidRPr="00AD412A" w:rsidP="00AD412A">
            <w:pPr>
              <w:pStyle w:val="ListBullet"/>
            </w:pPr>
            <w:r w:rsidRPr="00AD412A">
              <w:t>planning and organising activities by cleaning and preparing the work area</w:t>
            </w:r>
          </w:p>
          <w:p w:rsidR="00000000" w:rsidRPr="00AD412A" w:rsidP="00AD412A">
            <w:pPr>
              <w:pStyle w:val="ListBullet"/>
            </w:pPr>
            <w:r w:rsidRPr="00AD412A">
              <w:t>teamwork when maintaining the production process in association with others</w:t>
            </w:r>
          </w:p>
          <w:p w:rsidR="00000000" w:rsidRPr="00AD412A" w:rsidP="00AD412A">
            <w:pPr>
              <w:pStyle w:val="ListBullet"/>
            </w:pPr>
            <w:r w:rsidRPr="00AD412A">
              <w:t>m</w:t>
            </w:r>
            <w:r w:rsidRPr="00AD412A">
              <w:t>athematical ideas and techniques by calculating exposure and using a densitometer</w:t>
            </w:r>
          </w:p>
          <w:p w:rsidR="00000000" w:rsidRPr="00AD412A" w:rsidP="00AD412A">
            <w:pPr>
              <w:pStyle w:val="ListBullet"/>
            </w:pPr>
            <w:r w:rsidRPr="00AD412A">
              <w:t>problem-solving skills by recognising cylinder faults and correcting</w:t>
            </w:r>
          </w:p>
          <w:p w:rsidR="00000000" w:rsidP="00AD412A">
            <w:pPr>
              <w:pStyle w:val="ListBullet"/>
              <w:rPr>
                <w:lang w:val="en-NZ"/>
              </w:rPr>
            </w:pPr>
            <w:r w:rsidRPr="00AD412A">
              <w:t>use of technology by using equipment correctly to ensure ease of subsequent processing</w:t>
            </w:r>
          </w:p>
        </w:tc>
      </w:tr>
      <w:tr w:rsidTr="00A1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Required knowledg</w:t>
            </w:r>
            <w:r w:rsidRPr="00AD412A">
              <w:rPr>
                <w:rStyle w:val="SpecialBold"/>
              </w:rPr>
              <w:t>e</w:t>
            </w:r>
          </w:p>
        </w:tc>
      </w:tr>
      <w:tr w:rsidTr="00A128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Bullet"/>
            </w:pPr>
            <w:r w:rsidRPr="00AD412A">
              <w:t>chemical names and symbols for three chemicals used in cylinder production</w:t>
            </w:r>
          </w:p>
          <w:p w:rsidR="00000000" w:rsidRPr="00AD412A" w:rsidP="00AD412A">
            <w:pPr>
              <w:pStyle w:val="ListBullet"/>
            </w:pPr>
            <w:r w:rsidRPr="00AD412A">
              <w:t>standard safety procedures used when handling gravure chemicals</w:t>
            </w:r>
          </w:p>
          <w:p w:rsidR="00000000" w:rsidRPr="00AD412A" w:rsidP="00AD412A">
            <w:pPr>
              <w:pStyle w:val="ListBullet"/>
            </w:pPr>
            <w:r w:rsidRPr="00AD412A">
              <w:t>two methods of manual gravure cylinder production</w:t>
            </w:r>
          </w:p>
          <w:p w:rsidR="00000000" w:rsidRPr="00AD412A" w:rsidP="00AD412A">
            <w:pPr>
              <w:pStyle w:val="ListBullet"/>
            </w:pPr>
            <w:r w:rsidRPr="00AD412A">
              <w:t>cylinder balancing and how is it achieved</w:t>
            </w:r>
          </w:p>
          <w:p w:rsidR="00000000" w:rsidRPr="00AD412A" w:rsidP="00AD412A">
            <w:pPr>
              <w:pStyle w:val="ListBullet"/>
            </w:pPr>
            <w:r w:rsidRPr="00AD412A">
              <w:t>preparation processes</w:t>
            </w:r>
            <w:r w:rsidRPr="00AD412A">
              <w:t xml:space="preserve"> for both steel and aluminium cylinder bases</w:t>
            </w:r>
          </w:p>
          <w:p w:rsidR="00000000" w:rsidRPr="00AD412A" w:rsidP="00AD412A">
            <w:pPr>
              <w:pStyle w:val="ListBullet"/>
            </w:pPr>
            <w:r w:rsidRPr="00AD412A">
              <w:t>Blue Print and how is it produced</w:t>
            </w:r>
          </w:p>
          <w:p w:rsidR="00000000" w:rsidRPr="00AD412A" w:rsidP="00AD412A">
            <w:pPr>
              <w:pStyle w:val="ListBullet"/>
            </w:pPr>
            <w:r w:rsidRPr="00AD412A">
              <w:t>Direct Transfer method of cylinder production</w:t>
            </w:r>
          </w:p>
          <w:p w:rsidR="00000000" w:rsidRPr="00AD412A" w:rsidP="00AD412A">
            <w:pPr>
              <w:pStyle w:val="ListBullet"/>
            </w:pPr>
            <w:r w:rsidRPr="00AD412A">
              <w:t>cell depth determination</w:t>
            </w:r>
          </w:p>
          <w:p w:rsidR="00000000" w:rsidRPr="00AD412A" w:rsidP="00AD412A">
            <w:pPr>
              <w:pStyle w:val="ListBullet"/>
            </w:pPr>
            <w:r w:rsidRPr="00AD412A">
              <w:t>chemical of the etching solution</w:t>
            </w:r>
          </w:p>
          <w:p w:rsidR="00000000" w:rsidRPr="00AD412A" w:rsidP="00AD412A">
            <w:pPr>
              <w:pStyle w:val="ListBullet"/>
            </w:pPr>
            <w:r w:rsidRPr="00AD412A">
              <w:t>thickness chrome coating on the etched surface</w:t>
            </w:r>
          </w:p>
          <w:p w:rsidR="00000000" w:rsidRPr="00AD412A" w:rsidP="00AD412A">
            <w:pPr>
              <w:pStyle w:val="ListBullet"/>
            </w:pPr>
            <w:r w:rsidRPr="00AD412A">
              <w:t>factors that govern the rate of etch</w:t>
            </w:r>
          </w:p>
          <w:p w:rsidR="00000000" w:rsidRPr="00AD412A" w:rsidP="00AD412A">
            <w:pPr>
              <w:pStyle w:val="ListBullet"/>
            </w:pPr>
            <w:r w:rsidRPr="00AD412A">
              <w:t>manuals, safety and other documentation that are relevant to this task and where are they kept and information that is included in these documents</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10" w:name="O_82452"/>
      <w:bookmarkEnd w:id="10"/>
      <w:r w:rsidRPr="00AD412A">
        <w:t>Evidence Guide</w:t>
      </w:r>
    </w:p>
    <w:tbl>
      <w:tblPr>
        <w:tblW w:w="9570" w:type="dxa"/>
        <w:tblLayout w:type="fixed"/>
        <w:tblCellMar>
          <w:left w:w="62" w:type="dxa"/>
          <w:right w:w="62" w:type="dxa"/>
        </w:tblCellMar>
        <w:tblLook w:val="0000"/>
      </w:tblPr>
      <w:tblGrid>
        <w:gridCol w:w="3908"/>
        <w:gridCol w:w="5662"/>
      </w:tblGrid>
      <w:tr w:rsidTr="00A128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EVIDENCE GUIDE</w:t>
            </w:r>
          </w:p>
        </w:tc>
      </w:tr>
      <w:tr w:rsidTr="00A128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t>The Evidence Guide provides advice on assessment and must be read in conjunction with the performance criteria, required skills and knowledge, range statement and the Assessment Guidelines for the Training Package.</w:t>
            </w:r>
          </w:p>
        </w:tc>
      </w:tr>
      <w:tr w:rsidTr="00A1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p>
        </w:tc>
      </w:tr>
      <w:tr w:rsidTr="00A1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Critical aspec</w:t>
            </w:r>
            <w:r w:rsidRPr="00AD412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Evidence of the ability to:</w:t>
            </w:r>
          </w:p>
          <w:p w:rsidR="00000000" w:rsidRPr="00AD412A" w:rsidP="00AD412A">
            <w:pPr>
              <w:pStyle w:val="ListBullet"/>
            </w:pPr>
            <w:r w:rsidRPr="00AD412A">
              <w:t>the cylinder is correctly and safely processed and etched to ensure a quality print</w:t>
            </w:r>
          </w:p>
          <w:p w:rsidR="00000000" w:rsidRPr="00AD412A" w:rsidP="00AD412A">
            <w:pPr>
              <w:pStyle w:val="ListBullet"/>
            </w:pPr>
            <w:r w:rsidRPr="00AD412A">
              <w:t>the underlying skills of cylinder making should be transferable across the pre-press sector. It is important that the substrate for reproduction is identified and that the quality of the cylinder be suitable for the identified printing processes</w:t>
            </w:r>
          </w:p>
          <w:p w:rsidR="00000000" w:rsidRPr="00AD412A" w:rsidP="00AD412A">
            <w:pPr>
              <w:pStyle w:val="ListBullet"/>
            </w:pPr>
            <w:r w:rsidRPr="00AD412A">
              <w:t>demonstrat</w:t>
            </w:r>
            <w:r w:rsidRPr="00AD412A">
              <w:t>e an ability to find and use information relevant to the task from a variety of information sources</w:t>
            </w:r>
          </w:p>
          <w:p w:rsidR="00000000" w:rsidP="00AD412A">
            <w:pPr>
              <w:pStyle w:val="ListBullet"/>
              <w:rPr>
                <w:lang w:val="en-NZ"/>
              </w:rPr>
            </w:pPr>
            <w:r w:rsidRPr="00AD412A">
              <w:t>manually produce TWO gravure cylinders and establish and maintain a chemical register according to the listed Performance Criteria.</w:t>
            </w:r>
          </w:p>
        </w:tc>
      </w:tr>
      <w:tr w:rsidTr="00A1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Context of and specific</w:t>
            </w:r>
            <w:r w:rsidRPr="00AD412A">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Assessment must ensure:</w:t>
            </w:r>
          </w:p>
          <w:p w:rsidR="00000000" w:rsidRPr="00AD412A" w:rsidP="00AD412A">
            <w:pPr>
              <w:pStyle w:val="ListBullet"/>
            </w:pPr>
            <w:r w:rsidRPr="00AD412A">
              <w:t>assessment may take place on the job, off the job or a combination of these. Off the job assessment must be undertaken in a closely simulated workplace environment</w:t>
            </w:r>
          </w:p>
          <w:p w:rsidR="00000000" w:rsidP="00AD412A">
            <w:pPr>
              <w:pStyle w:val="ListBullet"/>
              <w:rPr>
                <w:lang w:val="en-NZ"/>
              </w:rPr>
            </w:pPr>
            <w:r w:rsidRPr="00AD412A">
              <w:t>it is expected that special purpose tools</w:t>
            </w:r>
            <w:r w:rsidRPr="00AD412A">
              <w:t xml:space="preserve"> and equipment will be used where appropriate.</w:t>
            </w:r>
          </w:p>
        </w:tc>
      </w:tr>
      <w:tr w:rsidTr="00A1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A range of assessment methods should be used to assess practical skills and knowledge. The following examples are appropriate for this unit:</w:t>
            </w:r>
          </w:p>
          <w:p w:rsidR="00000000" w:rsidP="00AD412A">
            <w:pPr>
              <w:pStyle w:val="ListBullet"/>
              <w:rPr>
                <w:lang w:val="en-NZ"/>
              </w:rPr>
            </w:pPr>
            <w:r w:rsidRPr="00AD412A">
              <w:t>direct questioning combined with review of po</w:t>
            </w:r>
            <w:r w:rsidRPr="00AD412A">
              <w:t>rtfolios of evidence and third party workplace reports of on-the-job performance by the candidate.</w:t>
            </w:r>
          </w:p>
        </w:tc>
      </w:tr>
      <w:tr w:rsidTr="00A128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Holistic assessment with other units relevant to the industry sector, workplace and job role is recommended.</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11" w:name="O_82453"/>
      <w:bookmarkEnd w:id="11"/>
      <w:r w:rsidRPr="00AD412A">
        <w:t>Range Statement</w:t>
      </w:r>
    </w:p>
    <w:tbl>
      <w:tblPr>
        <w:tblW w:w="0" w:type="auto"/>
        <w:tblLayout w:type="fixed"/>
        <w:tblCellMar>
          <w:left w:w="62" w:type="dxa"/>
          <w:right w:w="62" w:type="dxa"/>
        </w:tblCellMar>
        <w:tblLook w:val="0000"/>
      </w:tblPr>
      <w:tblGrid>
        <w:gridCol w:w="3582"/>
        <w:gridCol w:w="4940"/>
      </w:tblGrid>
      <w:tr w:rsidTr="00A128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RANGE STATEMENT</w:t>
            </w:r>
          </w:p>
        </w:tc>
      </w:tr>
      <w:tr w:rsidTr="00A128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t>The range statement relates to the unit of competency as a whole. It allows for different work environments and situations that may affect performance. Bold italicised wording, if used in the performance criteria, i</w:t>
            </w:r>
            <w:r w:rsidRPr="00AD412A">
              <w:t>s detailed below. Essential operating conditions that may be present with training and assessment (depending on the work situation, needs of the candidate, accessibility of the item, and local industry and regional contexts) may also be included.</w:t>
            </w:r>
          </w:p>
        </w:tc>
      </w:tr>
      <w:tr w:rsidTr="00A12882">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BoldandItalics"/>
              </w:rPr>
              <w:t>Output</w:t>
            </w:r>
            <w:r w:rsidRPr="00AD412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Bullet"/>
              <w:rPr>
                <w:lang w:val="en-NZ"/>
              </w:rPr>
            </w:pPr>
            <w:r w:rsidRPr="00AD412A">
              <w:t>a variety of cylinders and shells.</w:t>
            </w:r>
          </w:p>
        </w:tc>
      </w:tr>
      <w:tr w:rsidTr="00A12882">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BoldandItalics"/>
              </w:rPr>
              <w:t>Quality standards</w:t>
            </w:r>
            <w:r w:rsidRPr="00AD412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Bullet"/>
              <w:rPr>
                <w:lang w:val="en-NZ"/>
              </w:rPr>
            </w:pPr>
            <w:r w:rsidRPr="00AD412A">
              <w:t>should meet client requirements and enterprise and industry standards.</w:t>
            </w:r>
          </w:p>
        </w:tc>
      </w:tr>
      <w:tr w:rsidTr="00A12882">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BoldandItalics"/>
              </w:rPr>
              <w:t>Input</w:t>
            </w:r>
            <w:r w:rsidRPr="00AD412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Bullet"/>
              <w:rPr>
                <w:lang w:val="en-NZ"/>
              </w:rPr>
            </w:pPr>
            <w:r w:rsidRPr="00AD412A">
              <w:t>line and tone images.</w:t>
            </w:r>
          </w:p>
        </w:tc>
      </w:tr>
      <w:tr w:rsidTr="00A12882">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BoldandItalics"/>
              </w:rPr>
              <w:t>Capture</w:t>
            </w:r>
            <w:r w:rsidRPr="00AD412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ListBullet"/>
              <w:rPr>
                <w:lang w:val="en-NZ"/>
              </w:rPr>
            </w:pPr>
            <w:r w:rsidRPr="00AD412A">
              <w:t>carbon tissue and direct transfer methods.</w:t>
            </w:r>
          </w:p>
        </w:tc>
      </w:tr>
      <w:tr w:rsidTr="00A12882">
        <w:tblPrEx>
          <w:tblW w:w="0" w:type="auto"/>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BoldandItalics"/>
              </w:rPr>
              <w:t>Manipulation</w:t>
            </w:r>
            <w:r w:rsidRPr="00AD412A">
              <w:t>/</w:t>
            </w:r>
            <w:r w:rsidRPr="00AD412A">
              <w:rPr>
                <w:rStyle w:val="BoldandItalics"/>
              </w:rPr>
              <w:t>edit</w:t>
            </w:r>
            <w:r w:rsidRPr="00AD412A">
              <w:t xml:space="preserve"> may include:</w:t>
            </w:r>
          </w:p>
        </w:tc>
        <w:tc>
          <w:tcPr>
            <w:tcW w:w="4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ListBullet"/>
            </w:pPr>
            <w:r w:rsidRPr="00AD412A">
              <w:t>chemical processing - conventional and post.</w:t>
            </w:r>
          </w:p>
        </w:tc>
      </w:tr>
    </w:tbl>
    <w:p w:rsidR="00A12882" w:rsidP="00AD412A">
      <w:pPr>
        <w:pStyle w:val="BodyText"/>
      </w:pPr>
    </w:p>
    <w:p w:rsidR="00A12882" w:rsidP="00AD412A">
      <w:pPr>
        <w:pStyle w:val="BodyText"/>
      </w:pPr>
    </w:p>
    <w:p w:rsidR="00000000" w:rsidRPr="00AD412A" w:rsidP="00AD412A">
      <w:pPr>
        <w:pStyle w:val="Heading1"/>
      </w:pPr>
      <w:bookmarkStart w:id="12" w:name="O_82454"/>
      <w:bookmarkEnd w:id="12"/>
      <w:r w:rsidRPr="00AD412A">
        <w:t>Unit Sector(s)</w:t>
      </w:r>
    </w:p>
    <w:tbl>
      <w:tblPr>
        <w:tblW w:w="0" w:type="auto"/>
        <w:tblLayout w:type="fixed"/>
        <w:tblCellMar>
          <w:left w:w="62" w:type="dxa"/>
          <w:right w:w="62" w:type="dxa"/>
        </w:tblCellMar>
        <w:tblLook w:val="0000"/>
      </w:tblPr>
      <w:tblGrid>
        <w:gridCol w:w="2654"/>
        <w:gridCol w:w="5868"/>
      </w:tblGrid>
      <w:tr w:rsidTr="00A1288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13" w:name="O_156974"/>
      <w:bookmarkEnd w:id="13"/>
      <w:r w:rsidRPr="00AD412A">
        <w:t>Competency field</w:t>
      </w:r>
    </w:p>
    <w:tbl>
      <w:tblPr>
        <w:tblW w:w="0" w:type="auto"/>
        <w:tblLayout w:type="fixed"/>
        <w:tblCellMar>
          <w:left w:w="62" w:type="dxa"/>
          <w:right w:w="62" w:type="dxa"/>
        </w:tblCellMar>
        <w:tblLook w:val="0000"/>
      </w:tblPr>
      <w:tblGrid>
        <w:gridCol w:w="2780"/>
        <w:gridCol w:w="5742"/>
      </w:tblGrid>
      <w:tr w:rsidTr="00A12882">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r w:rsidRPr="00AD412A">
              <w:t>Pre-press</w:t>
            </w:r>
          </w:p>
        </w:tc>
      </w:tr>
    </w:tbl>
    <w:p w:rsidR="00000000" w:rsidRPr="00AD412A" w:rsidP="00AD412A">
      <w:pPr>
        <w:pStyle w:val="BodyText"/>
      </w:pPr>
    </w:p>
    <w:p w:rsidR="00000000" w:rsidRPr="00AD412A" w:rsidP="00AD412A">
      <w:pPr>
        <w:pStyle w:val="AllowPageBreak"/>
      </w:pPr>
    </w:p>
    <w:p w:rsidR="00000000" w:rsidRPr="00AD412A" w:rsidP="00AD412A">
      <w:pPr>
        <w:pStyle w:val="Heading1"/>
      </w:pPr>
      <w:bookmarkStart w:id="14" w:name="O_156973"/>
      <w:bookmarkEnd w:id="14"/>
      <w:r w:rsidRPr="00AD412A">
        <w:t>Co-requisite units</w:t>
      </w:r>
    </w:p>
    <w:tbl>
      <w:tblPr>
        <w:tblW w:w="0" w:type="auto"/>
        <w:tblLayout w:type="fixed"/>
        <w:tblCellMar>
          <w:left w:w="62" w:type="dxa"/>
          <w:right w:w="62" w:type="dxa"/>
        </w:tblCellMar>
        <w:tblLook w:val="0000"/>
      </w:tblPr>
      <w:tblGrid>
        <w:gridCol w:w="2641"/>
        <w:gridCol w:w="1322"/>
        <w:gridCol w:w="4559"/>
      </w:tblGrid>
      <w:tr w:rsidTr="00A128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r w:rsidRPr="00AD41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p>
        </w:tc>
      </w:tr>
      <w:tr w:rsidTr="00A12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2A">
            <w:pPr>
              <w:pStyle w:val="BodyText"/>
              <w:rPr>
                <w:lang w:val="en-NZ"/>
              </w:rPr>
            </w:pPr>
          </w:p>
        </w:tc>
      </w:tr>
      <w:tr w:rsidTr="00A128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2A" w:rsidP="00AD412A">
            <w:pPr>
              <w:pStyle w:val="BodyText"/>
            </w:pPr>
          </w:p>
        </w:tc>
      </w:tr>
    </w:tbl>
    <w:p w:rsidR="00000000" w:rsidRPr="00AD412A" w:rsidP="00AD412A">
      <w:pPr>
        <w:pStyle w:val="BodyText"/>
      </w:pPr>
    </w:p>
    <w:p w:rsidR="00000000" w:rsidRPr="00AD412A" w:rsidP="00AD412A"/>
    <w:sectPr w:rsidSect="00AD4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882" w:rsidP="00A12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82" w:rsidP="00AD4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2882" w:rsidP="00AD4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2882" w:rsidP="00AD4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882" w:rsidP="00A128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882" w:rsidP="00AD412A">
    <w:pPr>
      <w:pStyle w:val="Header"/>
      <w:framePr w:wrap="around"/>
    </w:pPr>
    <w:r>
      <w:fldChar w:fldCharType="begin"/>
    </w:r>
    <w:r>
      <w:instrText xml:space="preserve"> TITLE   \* MERGEFORMAT </w:instrText>
    </w:r>
    <w:r>
      <w:fldChar w:fldCharType="separate"/>
    </w:r>
    <w:r>
      <w:t>ICPPP272C Produce gravure cylinders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882" w:rsidP="00AD4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628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DA5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12A"/>
    <w:pPr>
      <w:spacing w:before="360" w:after="60"/>
      <w:outlineLvl w:val="0"/>
    </w:pPr>
    <w:rPr>
      <w:sz w:val="32"/>
    </w:rPr>
  </w:style>
  <w:style w:type="paragraph" w:styleId="Heading2">
    <w:name w:val="heading 2"/>
    <w:basedOn w:val="HeadingBase"/>
    <w:next w:val="BodyText"/>
    <w:link w:val="Heading2Char"/>
    <w:qFormat/>
    <w:rsid w:val="00AD412A"/>
    <w:pPr>
      <w:keepLines/>
      <w:spacing w:before="240" w:after="120"/>
      <w:outlineLvl w:val="1"/>
    </w:pPr>
    <w:rPr>
      <w:sz w:val="28"/>
      <w:szCs w:val="40"/>
    </w:rPr>
  </w:style>
  <w:style w:type="paragraph" w:styleId="Heading3">
    <w:name w:val="heading 3"/>
    <w:basedOn w:val="HeadingBase"/>
    <w:next w:val="BodyText"/>
    <w:link w:val="Heading3Char"/>
    <w:qFormat/>
    <w:rsid w:val="00AD412A"/>
    <w:pPr>
      <w:spacing w:before="180" w:after="120"/>
      <w:outlineLvl w:val="2"/>
    </w:pPr>
    <w:rPr>
      <w:spacing w:val="-10"/>
      <w:kern w:val="32"/>
    </w:rPr>
  </w:style>
  <w:style w:type="paragraph" w:styleId="Heading4">
    <w:name w:val="heading 4"/>
    <w:basedOn w:val="HeadingBase"/>
    <w:next w:val="BodyText"/>
    <w:link w:val="Heading4Char"/>
    <w:qFormat/>
    <w:rsid w:val="00AD412A"/>
    <w:pPr>
      <w:spacing w:before="160" w:after="120"/>
      <w:outlineLvl w:val="3"/>
    </w:pPr>
    <w:rPr>
      <w:sz w:val="22"/>
    </w:rPr>
  </w:style>
  <w:style w:type="paragraph" w:styleId="Heading5">
    <w:name w:val="heading 5"/>
    <w:basedOn w:val="HeadingBase"/>
    <w:next w:val="Normal"/>
    <w:link w:val="Heading5Char"/>
    <w:qFormat/>
    <w:rsid w:val="00AD412A"/>
    <w:pPr>
      <w:spacing w:before="80"/>
      <w:outlineLvl w:val="4"/>
    </w:pPr>
    <w:rPr>
      <w:color w:val="918585"/>
      <w:sz w:val="20"/>
    </w:rPr>
  </w:style>
  <w:style w:type="paragraph" w:styleId="Heading6">
    <w:name w:val="heading 6"/>
    <w:basedOn w:val="HeadingBase"/>
    <w:next w:val="Normal"/>
    <w:link w:val="Heading6Char"/>
    <w:qFormat/>
    <w:rsid w:val="00AD412A"/>
    <w:pPr>
      <w:spacing w:before="60"/>
      <w:outlineLvl w:val="5"/>
    </w:pPr>
    <w:rPr>
      <w:color w:val="918585"/>
      <w:sz w:val="20"/>
    </w:rPr>
  </w:style>
  <w:style w:type="paragraph" w:styleId="Heading7">
    <w:name w:val="heading 7"/>
    <w:basedOn w:val="Normal"/>
    <w:next w:val="Normal"/>
    <w:link w:val="Heading7Char"/>
    <w:qFormat/>
    <w:rsid w:val="00AD412A"/>
    <w:pPr>
      <w:ind w:left="720"/>
      <w:outlineLvl w:val="6"/>
    </w:pPr>
    <w:rPr>
      <w:i/>
    </w:rPr>
  </w:style>
  <w:style w:type="paragraph" w:styleId="Heading8">
    <w:name w:val="heading 8"/>
    <w:basedOn w:val="Normal"/>
    <w:next w:val="Normal"/>
    <w:link w:val="Heading8Char"/>
    <w:qFormat/>
    <w:rsid w:val="00AD412A"/>
    <w:pPr>
      <w:ind w:left="720"/>
      <w:outlineLvl w:val="7"/>
    </w:pPr>
    <w:rPr>
      <w:i/>
    </w:rPr>
  </w:style>
  <w:style w:type="paragraph" w:styleId="Heading9">
    <w:name w:val="heading 9"/>
    <w:basedOn w:val="Normal"/>
    <w:next w:val="Normal"/>
    <w:link w:val="Heading9Char"/>
    <w:qFormat/>
    <w:rsid w:val="00AD412A"/>
    <w:pPr>
      <w:ind w:left="720"/>
      <w:outlineLvl w:val="8"/>
    </w:pPr>
    <w:rPr>
      <w:i/>
    </w:rPr>
  </w:style>
  <w:style w:type="character" w:default="1" w:styleId="DefaultParagraphFont">
    <w:name w:val="Default Paragraph Font"/>
    <w:uiPriority w:val="1"/>
    <w:unhideWhenUsed/>
    <w:rsid w:val="00AD4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12A"/>
  </w:style>
  <w:style w:type="character" w:customStyle="1" w:styleId="Heading1Char">
    <w:name w:val="Heading 1 Char"/>
    <w:basedOn w:val="DefaultParagraphFont"/>
    <w:link w:val="Heading1"/>
    <w:rsid w:val="00AD412A"/>
    <w:rPr>
      <w:rFonts w:ascii="Times New Roman" w:eastAsia="Times New Roman" w:hAnsi="Times New Roman" w:cs="Times New Roman"/>
      <w:b/>
      <w:sz w:val="32"/>
      <w:szCs w:val="20"/>
      <w:lang w:eastAsia="en-US"/>
    </w:rPr>
  </w:style>
  <w:style w:type="paragraph" w:styleId="BodyText">
    <w:name w:val="Body Text"/>
    <w:basedOn w:val="Normal"/>
    <w:link w:val="BodyTextChar"/>
    <w:rsid w:val="00AD4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12A"/>
    <w:rPr>
      <w:rFonts w:ascii="Times New Roman" w:eastAsia="Times New Roman" w:hAnsi="Times New Roman" w:cs="Times New Roman"/>
      <w:sz w:val="24"/>
      <w:lang w:val="en-US" w:eastAsia="en-US"/>
    </w:rPr>
  </w:style>
  <w:style w:type="paragraph" w:styleId="Footer">
    <w:name w:val="footer"/>
    <w:basedOn w:val="Normal"/>
    <w:link w:val="FooterChar"/>
    <w:rsid w:val="00AD4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12A"/>
    <w:rPr>
      <w:rFonts w:ascii="Times New Roman" w:eastAsia="Times New Roman" w:hAnsi="Times New Roman" w:cs="Times New Roman"/>
      <w:sz w:val="16"/>
      <w:lang w:val="en-US" w:eastAsia="en-US"/>
    </w:rPr>
  </w:style>
  <w:style w:type="paragraph" w:styleId="List">
    <w:name w:val="List"/>
    <w:basedOn w:val="BodyText"/>
    <w:next w:val="BodyText"/>
    <w:rsid w:val="00AD412A"/>
    <w:pPr>
      <w:tabs>
        <w:tab w:val="left" w:pos="340"/>
      </w:tabs>
      <w:spacing w:before="60" w:after="60"/>
      <w:ind w:left="340" w:hanging="340"/>
    </w:pPr>
  </w:style>
  <w:style w:type="paragraph" w:styleId="ListBullet">
    <w:name w:val="List Bullet"/>
    <w:basedOn w:val="List"/>
    <w:rsid w:val="00AD412A"/>
    <w:pPr>
      <w:numPr>
        <w:numId w:val="12"/>
      </w:numPr>
      <w:tabs>
        <w:tab w:val="clear" w:pos="340"/>
      </w:tabs>
      <w:spacing w:before="40" w:after="40"/>
    </w:pPr>
  </w:style>
  <w:style w:type="character" w:customStyle="1" w:styleId="SpecialBold">
    <w:name w:val="Special Bold"/>
    <w:basedOn w:val="DefaultParagraphFont"/>
    <w:rsid w:val="00AD412A"/>
    <w:rPr>
      <w:b/>
      <w:spacing w:val="0"/>
    </w:rPr>
  </w:style>
  <w:style w:type="paragraph" w:styleId="Header">
    <w:name w:val="header"/>
    <w:basedOn w:val="Normal"/>
    <w:link w:val="HeaderChar"/>
    <w:rsid w:val="00AD4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1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412A"/>
    <w:pPr>
      <w:spacing w:before="240" w:after="120"/>
      <w:outlineLvl w:val="0"/>
    </w:pPr>
    <w:rPr>
      <w:rFonts w:ascii="Times New Roman" w:hAnsi="Times New Roman"/>
      <w:b/>
      <w:sz w:val="28"/>
    </w:rPr>
  </w:style>
  <w:style w:type="paragraph" w:customStyle="1" w:styleId="AllowPageBreak">
    <w:name w:val="AllowPageBreak"/>
    <w:rsid w:val="00AD41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412A"/>
    <w:pPr>
      <w:tabs>
        <w:tab w:val="left" w:pos="680"/>
      </w:tabs>
      <w:spacing w:before="60" w:after="60"/>
      <w:ind w:left="680" w:hanging="340"/>
    </w:pPr>
  </w:style>
  <w:style w:type="character" w:customStyle="1" w:styleId="BoldandItalics">
    <w:name w:val="Bold and Italics"/>
    <w:qFormat/>
    <w:rsid w:val="00AD412A"/>
    <w:rPr>
      <w:b/>
      <w:i/>
      <w:u w:val="none"/>
    </w:rPr>
  </w:style>
  <w:style w:type="character" w:customStyle="1" w:styleId="Heading2Char">
    <w:name w:val="Heading 2 Char"/>
    <w:basedOn w:val="DefaultParagraphFont"/>
    <w:link w:val="Heading2"/>
    <w:rsid w:val="00AD4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12A"/>
    <w:rPr>
      <w:rFonts w:ascii="Courier New" w:eastAsia="Times New Roman" w:hAnsi="Courier New" w:cs="Times New Roman"/>
      <w:i/>
      <w:szCs w:val="20"/>
      <w:lang w:val="en-US" w:eastAsia="en-US"/>
    </w:rPr>
  </w:style>
  <w:style w:type="paragraph" w:customStyle="1" w:styleId="HeadingBase">
    <w:name w:val="Heading Base"/>
    <w:rsid w:val="00AD4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12A"/>
    <w:pPr>
      <w:tabs>
        <w:tab w:val="right" w:leader="dot" w:pos="9072"/>
      </w:tabs>
      <w:ind w:left="567"/>
    </w:pPr>
    <w:rPr>
      <w:szCs w:val="22"/>
    </w:rPr>
  </w:style>
  <w:style w:type="paragraph" w:customStyle="1" w:styleId="TOCBase">
    <w:name w:val="TOC Base"/>
    <w:rsid w:val="00AD4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12A"/>
    <w:pPr>
      <w:tabs>
        <w:tab w:val="right" w:leader="dot" w:pos="9072"/>
      </w:tabs>
      <w:spacing w:before="40" w:after="40"/>
      <w:ind w:left="284"/>
    </w:pPr>
    <w:rPr>
      <w:rFonts w:ascii="Times New Roman" w:hAnsi="Times New Roman"/>
    </w:rPr>
  </w:style>
  <w:style w:type="paragraph" w:styleId="TOC1">
    <w:name w:val="toc 1"/>
    <w:basedOn w:val="TOCBase"/>
    <w:next w:val="Normal"/>
    <w:rsid w:val="00AD4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12A"/>
    <w:pPr>
      <w:spacing w:before="5040"/>
      <w:jc w:val="center"/>
    </w:pPr>
    <w:rPr>
      <w:sz w:val="48"/>
      <w:szCs w:val="72"/>
      <w:lang w:val="en-US"/>
    </w:rPr>
  </w:style>
  <w:style w:type="character" w:customStyle="1" w:styleId="TitleChar">
    <w:name w:val="Title Char"/>
    <w:basedOn w:val="DefaultParagraphFont"/>
    <w:link w:val="Title"/>
    <w:rsid w:val="00AD4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12A"/>
    <w:pPr>
      <w:tabs>
        <w:tab w:val="left" w:pos="3600"/>
        <w:tab w:val="left" w:pos="3958"/>
      </w:tabs>
    </w:pPr>
  </w:style>
  <w:style w:type="paragraph" w:customStyle="1" w:styleId="Note">
    <w:name w:val="Note"/>
    <w:basedOn w:val="BodyText"/>
    <w:rsid w:val="00AD4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12A"/>
    <w:pPr>
      <w:framePr w:wrap="auto" w:hAnchor="text" w:y="6049"/>
    </w:pPr>
    <w:rPr>
      <w:color w:val="000000"/>
      <w:sz w:val="40"/>
    </w:rPr>
  </w:style>
  <w:style w:type="paragraph" w:customStyle="1" w:styleId="TOCTitle">
    <w:name w:val="TOCTitle"/>
    <w:basedOn w:val="Heading1"/>
    <w:rsid w:val="00AD412A"/>
    <w:pPr>
      <w:spacing w:after="240"/>
      <w:jc w:val="center"/>
      <w:outlineLvl w:val="9"/>
    </w:pPr>
    <w:rPr>
      <w:caps/>
    </w:rPr>
  </w:style>
  <w:style w:type="paragraph" w:customStyle="1" w:styleId="Version">
    <w:name w:val="Version"/>
    <w:rsid w:val="00AD4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12A"/>
    <w:pPr>
      <w:numPr>
        <w:numId w:val="13"/>
      </w:numPr>
      <w:tabs>
        <w:tab w:val="clear" w:pos="680"/>
      </w:tabs>
    </w:pPr>
  </w:style>
  <w:style w:type="paragraph" w:styleId="Index1">
    <w:name w:val="index 1"/>
    <w:basedOn w:val="Normal"/>
    <w:next w:val="Normal"/>
    <w:semiHidden/>
    <w:rsid w:val="00AD412A"/>
    <w:pPr>
      <w:keepNext w:val="0"/>
      <w:tabs>
        <w:tab w:val="right" w:pos="4176"/>
      </w:tabs>
      <w:ind w:left="198" w:hanging="198"/>
    </w:pPr>
    <w:rPr>
      <w:rFonts w:ascii="Garamond" w:hAnsi="Garamond"/>
    </w:rPr>
  </w:style>
  <w:style w:type="paragraph" w:styleId="IndexHeading">
    <w:name w:val="index heading"/>
    <w:basedOn w:val="Normal"/>
    <w:next w:val="Index1"/>
    <w:semiHidden/>
    <w:rsid w:val="00AD412A"/>
    <w:pPr>
      <w:spacing w:before="120" w:after="120"/>
    </w:pPr>
    <w:rPr>
      <w:rFonts w:ascii="Arial" w:hAnsi="Arial"/>
      <w:b/>
      <w:color w:val="918585"/>
      <w:sz w:val="24"/>
    </w:rPr>
  </w:style>
  <w:style w:type="paragraph" w:customStyle="1" w:styleId="Chapter">
    <w:name w:val="Chapter"/>
    <w:basedOn w:val="Normal"/>
    <w:rsid w:val="00AD412A"/>
    <w:pPr>
      <w:spacing w:before="240"/>
    </w:pPr>
    <w:rPr>
      <w:rFonts w:ascii="Times New Roman" w:hAnsi="Times New Roman"/>
      <w:smallCaps/>
      <w:spacing w:val="80"/>
      <w:sz w:val="28"/>
    </w:rPr>
  </w:style>
  <w:style w:type="paragraph" w:customStyle="1" w:styleId="InChapter">
    <w:name w:val="InChapter"/>
    <w:basedOn w:val="Heading3"/>
    <w:rsid w:val="00AD412A"/>
    <w:pPr>
      <w:spacing w:after="240"/>
      <w:outlineLvl w:val="9"/>
    </w:pPr>
    <w:rPr>
      <w:noProof/>
    </w:rPr>
  </w:style>
  <w:style w:type="paragraph" w:styleId="Index2">
    <w:name w:val="index 2"/>
    <w:basedOn w:val="Normal"/>
    <w:next w:val="Normal"/>
    <w:semiHidden/>
    <w:rsid w:val="00AD412A"/>
    <w:pPr>
      <w:tabs>
        <w:tab w:val="right" w:pos="4176"/>
      </w:tabs>
      <w:ind w:left="568" w:hanging="284"/>
    </w:pPr>
    <w:rPr>
      <w:rFonts w:ascii="Garamond" w:hAnsi="Garamond"/>
    </w:rPr>
  </w:style>
  <w:style w:type="paragraph" w:customStyle="1" w:styleId="Byline">
    <w:name w:val="Byline"/>
    <w:rsid w:val="00AD4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12A"/>
    <w:pPr>
      <w:tabs>
        <w:tab w:val="clear" w:pos="3600"/>
        <w:tab w:val="clear" w:pos="3958"/>
      </w:tabs>
      <w:jc w:val="right"/>
    </w:pPr>
  </w:style>
  <w:style w:type="character" w:styleId="Emphasis">
    <w:name w:val="Emphasis"/>
    <w:basedOn w:val="DefaultParagraphFont"/>
    <w:qFormat/>
    <w:rsid w:val="00AD412A"/>
    <w:rPr>
      <w:i/>
    </w:rPr>
  </w:style>
  <w:style w:type="paragraph" w:styleId="Caption">
    <w:name w:val="caption"/>
    <w:basedOn w:val="BodyText"/>
    <w:next w:val="Normal"/>
    <w:qFormat/>
    <w:rsid w:val="00AD412A"/>
    <w:pPr>
      <w:framePr w:w="2268" w:hSpace="181" w:vSpace="181" w:wrap="around" w:vAnchor="text" w:hAnchor="page" w:x="1135" w:y="285" w:anchorLock="1"/>
    </w:pPr>
    <w:rPr>
      <w:i/>
    </w:rPr>
  </w:style>
  <w:style w:type="paragraph" w:customStyle="1" w:styleId="MiniTOCTitle">
    <w:name w:val="MiniTOCTitle"/>
    <w:basedOn w:val="Heading4"/>
    <w:rsid w:val="00AD412A"/>
    <w:pPr>
      <w:spacing w:before="240"/>
      <w:outlineLvl w:val="9"/>
    </w:pPr>
    <w:rPr>
      <w:noProof/>
      <w:sz w:val="24"/>
    </w:rPr>
  </w:style>
  <w:style w:type="paragraph" w:customStyle="1" w:styleId="MiniTOCItem">
    <w:name w:val="MiniTOCItem"/>
    <w:basedOn w:val="ListBullet"/>
    <w:rsid w:val="00AD412A"/>
    <w:pPr>
      <w:numPr>
        <w:numId w:val="0"/>
      </w:numPr>
      <w:tabs>
        <w:tab w:val="right" w:leader="dot" w:pos="6521"/>
      </w:tabs>
      <w:spacing w:before="0" w:after="0"/>
    </w:pPr>
  </w:style>
  <w:style w:type="paragraph" w:customStyle="1" w:styleId="TOFTitle">
    <w:name w:val="TOFTitle"/>
    <w:basedOn w:val="TOCTitle"/>
    <w:rsid w:val="00AD412A"/>
  </w:style>
  <w:style w:type="paragraph" w:styleId="TableofFigures">
    <w:name w:val="table of figures"/>
    <w:basedOn w:val="Normal"/>
    <w:next w:val="Normal"/>
    <w:semiHidden/>
    <w:rsid w:val="00AD412A"/>
    <w:pPr>
      <w:tabs>
        <w:tab w:val="right" w:leader="dot" w:pos="9072"/>
      </w:tabs>
      <w:ind w:left="970" w:hanging="403"/>
    </w:pPr>
    <w:rPr>
      <w:rFonts w:ascii="Times New Roman" w:hAnsi="Times New Roman"/>
      <w:b/>
    </w:rPr>
  </w:style>
  <w:style w:type="paragraph" w:styleId="ListNumber">
    <w:name w:val="List Number"/>
    <w:basedOn w:val="List"/>
    <w:rsid w:val="00AD412A"/>
    <w:pPr>
      <w:numPr>
        <w:numId w:val="10"/>
      </w:numPr>
    </w:pPr>
  </w:style>
  <w:style w:type="character" w:customStyle="1" w:styleId="WingdingSymbols">
    <w:name w:val="Wingding Symbols"/>
    <w:rsid w:val="00AD412A"/>
    <w:rPr>
      <w:rFonts w:ascii="Wingdings" w:hAnsi="Wingdings"/>
    </w:rPr>
  </w:style>
  <w:style w:type="paragraph" w:customStyle="1" w:styleId="TableHeading">
    <w:name w:val="Table Heading"/>
    <w:basedOn w:val="HeadingBase"/>
    <w:rsid w:val="00AD412A"/>
    <w:pPr>
      <w:keepLines/>
      <w:pBdr>
        <w:bottom w:val="single" w:sz="6" w:space="1" w:color="918585"/>
      </w:pBdr>
      <w:spacing w:before="240"/>
    </w:pPr>
  </w:style>
  <w:style w:type="character" w:customStyle="1" w:styleId="HotSpot">
    <w:name w:val="HotSpot"/>
    <w:rsid w:val="00AD412A"/>
    <w:rPr>
      <w:color w:val="0033CC"/>
      <w:u w:val="none"/>
    </w:rPr>
  </w:style>
  <w:style w:type="paragraph" w:customStyle="1" w:styleId="BodyTextRight">
    <w:name w:val="Body Text Right"/>
    <w:basedOn w:val="BodyText"/>
    <w:rsid w:val="00AD412A"/>
    <w:pPr>
      <w:spacing w:before="0" w:after="0"/>
      <w:jc w:val="right"/>
    </w:pPr>
  </w:style>
  <w:style w:type="paragraph" w:styleId="Index3">
    <w:name w:val="index 3"/>
    <w:basedOn w:val="ListNumber2"/>
    <w:next w:val="Normal"/>
    <w:semiHidden/>
    <w:rsid w:val="00AD412A"/>
    <w:pPr>
      <w:numPr>
        <w:numId w:val="0"/>
      </w:numPr>
      <w:tabs>
        <w:tab w:val="right" w:leader="dot" w:pos="4176"/>
      </w:tabs>
    </w:pPr>
  </w:style>
  <w:style w:type="paragraph" w:styleId="ListNumber2">
    <w:name w:val="List Number 2"/>
    <w:basedOn w:val="List2"/>
    <w:rsid w:val="00AD412A"/>
    <w:pPr>
      <w:numPr>
        <w:numId w:val="9"/>
      </w:numPr>
      <w:tabs>
        <w:tab w:val="clear" w:pos="1060"/>
      </w:tabs>
    </w:pPr>
  </w:style>
  <w:style w:type="paragraph" w:customStyle="1" w:styleId="MarginNote">
    <w:name w:val="Margin Note"/>
    <w:basedOn w:val="BodyText"/>
    <w:rsid w:val="00AD4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12A"/>
    <w:rPr>
      <w:sz w:val="32"/>
    </w:rPr>
  </w:style>
  <w:style w:type="paragraph" w:customStyle="1" w:styleId="HeadingProcedure">
    <w:name w:val="Heading Procedure"/>
    <w:basedOn w:val="HeadingBase"/>
    <w:next w:val="Normal"/>
    <w:rsid w:val="00AD412A"/>
    <w:pPr>
      <w:tabs>
        <w:tab w:val="left" w:pos="0"/>
      </w:tabs>
      <w:spacing w:before="120" w:after="60"/>
    </w:pPr>
    <w:rPr>
      <w:i/>
      <w:color w:val="918585"/>
      <w:sz w:val="22"/>
    </w:rPr>
  </w:style>
  <w:style w:type="paragraph" w:customStyle="1" w:styleId="TableBodyText">
    <w:name w:val="Table Body Text"/>
    <w:basedOn w:val="BodyText"/>
    <w:rsid w:val="00AD412A"/>
    <w:pPr>
      <w:spacing w:before="60" w:after="60"/>
    </w:pPr>
  </w:style>
  <w:style w:type="paragraph" w:styleId="ListContinue">
    <w:name w:val="List Continue"/>
    <w:basedOn w:val="List"/>
    <w:rsid w:val="00AD412A"/>
    <w:pPr>
      <w:ind w:firstLine="0"/>
    </w:pPr>
  </w:style>
  <w:style w:type="paragraph" w:customStyle="1" w:styleId="ListNote">
    <w:name w:val="List Note"/>
    <w:basedOn w:val="List"/>
    <w:rsid w:val="00AD412A"/>
    <w:pPr>
      <w:pBdr>
        <w:top w:val="single" w:sz="6" w:space="2" w:color="918585"/>
        <w:bottom w:val="single" w:sz="6" w:space="2" w:color="918585"/>
      </w:pBdr>
      <w:tabs>
        <w:tab w:val="left" w:pos="1021"/>
      </w:tabs>
      <w:ind w:firstLine="0"/>
    </w:pPr>
  </w:style>
  <w:style w:type="paragraph" w:customStyle="1" w:styleId="Warning">
    <w:name w:val="Warning"/>
    <w:basedOn w:val="BodyText"/>
    <w:rsid w:val="00AD412A"/>
    <w:pPr>
      <w:shd w:val="clear" w:color="auto" w:fill="D9D9D9"/>
      <w:tabs>
        <w:tab w:val="left" w:pos="992"/>
      </w:tabs>
      <w:ind w:left="119" w:right="119"/>
    </w:pPr>
    <w:rPr>
      <w:sz w:val="20"/>
    </w:rPr>
  </w:style>
  <w:style w:type="paragraph" w:customStyle="1" w:styleId="MarginIcons">
    <w:name w:val="Margin Icons"/>
    <w:basedOn w:val="BodyText"/>
    <w:rsid w:val="00AD4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12A"/>
    <w:rPr>
      <w:rFonts w:ascii="Courier New" w:hAnsi="Courier New"/>
    </w:rPr>
  </w:style>
  <w:style w:type="paragraph" w:customStyle="1" w:styleId="NoteBullet">
    <w:name w:val="Note Bullet"/>
    <w:basedOn w:val="Note"/>
    <w:rsid w:val="00AD412A"/>
    <w:pPr>
      <w:tabs>
        <w:tab w:val="clear" w:pos="680"/>
      </w:tabs>
      <w:spacing w:before="60" w:after="60"/>
    </w:pPr>
  </w:style>
  <w:style w:type="paragraph" w:customStyle="1" w:styleId="SubHeading2">
    <w:name w:val="SubHeading2"/>
    <w:basedOn w:val="HeadingBase"/>
    <w:rsid w:val="00AD412A"/>
    <w:pPr>
      <w:spacing w:before="240" w:after="60"/>
    </w:pPr>
    <w:rPr>
      <w:sz w:val="20"/>
    </w:rPr>
  </w:style>
  <w:style w:type="paragraph" w:customStyle="1" w:styleId="SubHeading1">
    <w:name w:val="SubHeading1"/>
    <w:basedOn w:val="HeadingBase"/>
    <w:rsid w:val="00AD412A"/>
    <w:pPr>
      <w:spacing w:before="240" w:after="60"/>
    </w:pPr>
    <w:rPr>
      <w:color w:val="918585"/>
      <w:sz w:val="22"/>
    </w:rPr>
  </w:style>
  <w:style w:type="paragraph" w:customStyle="1" w:styleId="SideHeading">
    <w:name w:val="Side Heading"/>
    <w:basedOn w:val="HeadingBase"/>
    <w:rsid w:val="00AD4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12A"/>
    <w:pPr>
      <w:tabs>
        <w:tab w:val="num" w:pos="360"/>
      </w:tabs>
    </w:pPr>
  </w:style>
  <w:style w:type="paragraph" w:styleId="PlainText">
    <w:name w:val="Plain Text"/>
    <w:basedOn w:val="Normal"/>
    <w:link w:val="PlainTextChar"/>
    <w:rsid w:val="00AD412A"/>
    <w:rPr>
      <w:sz w:val="20"/>
    </w:rPr>
  </w:style>
  <w:style w:type="character" w:customStyle="1" w:styleId="PlainTextChar">
    <w:name w:val="Plain Text Char"/>
    <w:basedOn w:val="DefaultParagraphFont"/>
    <w:link w:val="PlainText"/>
    <w:rsid w:val="00AD4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412A"/>
    <w:rPr>
      <w:b/>
      <w:smallCaps/>
    </w:rPr>
  </w:style>
  <w:style w:type="paragraph" w:customStyle="1" w:styleId="TableListNumber">
    <w:name w:val="Table List Number"/>
    <w:basedOn w:val="ListNumber"/>
    <w:rsid w:val="00AD412A"/>
    <w:pPr>
      <w:numPr>
        <w:numId w:val="0"/>
      </w:numPr>
    </w:pPr>
  </w:style>
  <w:style w:type="paragraph" w:styleId="TOC4">
    <w:name w:val="toc 4"/>
    <w:basedOn w:val="TOCBase"/>
    <w:next w:val="Normal"/>
    <w:semiHidden/>
    <w:rsid w:val="00AD412A"/>
    <w:pPr>
      <w:tabs>
        <w:tab w:val="right" w:leader="dot" w:pos="9071"/>
      </w:tabs>
      <w:ind w:left="1701"/>
    </w:pPr>
  </w:style>
  <w:style w:type="paragraph" w:customStyle="1" w:styleId="ListAlpha">
    <w:name w:val="List Alpha"/>
    <w:basedOn w:val="List"/>
    <w:rsid w:val="00AD412A"/>
    <w:pPr>
      <w:numPr>
        <w:numId w:val="8"/>
      </w:numPr>
    </w:pPr>
  </w:style>
  <w:style w:type="paragraph" w:customStyle="1" w:styleId="ListAlpha2">
    <w:name w:val="List Alpha 2"/>
    <w:basedOn w:val="List2"/>
    <w:rsid w:val="00AD412A"/>
    <w:pPr>
      <w:numPr>
        <w:numId w:val="7"/>
      </w:numPr>
    </w:pPr>
  </w:style>
  <w:style w:type="paragraph" w:styleId="List3">
    <w:name w:val="List 3"/>
    <w:basedOn w:val="BodyText"/>
    <w:rsid w:val="00AD412A"/>
    <w:pPr>
      <w:tabs>
        <w:tab w:val="left" w:pos="1021"/>
      </w:tabs>
      <w:spacing w:before="60" w:after="60"/>
      <w:ind w:left="1020" w:hanging="340"/>
    </w:pPr>
  </w:style>
  <w:style w:type="paragraph" w:styleId="List4">
    <w:name w:val="List 4"/>
    <w:basedOn w:val="BodyText"/>
    <w:rsid w:val="00AD412A"/>
    <w:pPr>
      <w:tabs>
        <w:tab w:val="left" w:pos="1361"/>
      </w:tabs>
      <w:spacing w:before="60" w:after="60"/>
      <w:ind w:left="1361" w:hanging="340"/>
    </w:pPr>
  </w:style>
  <w:style w:type="paragraph" w:styleId="List5">
    <w:name w:val="List 5"/>
    <w:basedOn w:val="BodyText"/>
    <w:rsid w:val="00AD412A"/>
    <w:pPr>
      <w:tabs>
        <w:tab w:val="left" w:pos="1701"/>
      </w:tabs>
      <w:spacing w:before="60" w:after="60"/>
      <w:ind w:left="1701" w:hanging="340"/>
    </w:pPr>
  </w:style>
  <w:style w:type="paragraph" w:styleId="ListBullet3">
    <w:name w:val="List Bullet 3"/>
    <w:basedOn w:val="List3"/>
    <w:rsid w:val="00AD412A"/>
    <w:pPr>
      <w:numPr>
        <w:numId w:val="14"/>
      </w:numPr>
      <w:tabs>
        <w:tab w:val="clear" w:pos="1021"/>
      </w:tabs>
      <w:ind w:left="1037" w:hanging="357"/>
    </w:pPr>
  </w:style>
  <w:style w:type="paragraph" w:styleId="ListBullet4">
    <w:name w:val="List Bullet 4"/>
    <w:basedOn w:val="List4"/>
    <w:rsid w:val="00AD412A"/>
    <w:pPr>
      <w:numPr>
        <w:numId w:val="2"/>
      </w:numPr>
    </w:pPr>
  </w:style>
  <w:style w:type="paragraph" w:styleId="ListBullet5">
    <w:name w:val="List Bullet 5"/>
    <w:basedOn w:val="List5"/>
    <w:rsid w:val="00AD412A"/>
    <w:pPr>
      <w:numPr>
        <w:numId w:val="3"/>
      </w:numPr>
    </w:pPr>
  </w:style>
  <w:style w:type="paragraph" w:styleId="ListContinue2">
    <w:name w:val="List Continue 2"/>
    <w:basedOn w:val="List2"/>
    <w:rsid w:val="00AD412A"/>
    <w:pPr>
      <w:ind w:firstLine="0"/>
    </w:pPr>
  </w:style>
  <w:style w:type="paragraph" w:styleId="ListContinue3">
    <w:name w:val="List Continue 3"/>
    <w:basedOn w:val="List3"/>
    <w:rsid w:val="00AD412A"/>
    <w:pPr>
      <w:ind w:left="1021" w:firstLine="0"/>
    </w:pPr>
  </w:style>
  <w:style w:type="paragraph" w:styleId="ListContinue4">
    <w:name w:val="List Continue 4"/>
    <w:basedOn w:val="List4"/>
    <w:rsid w:val="00AD412A"/>
    <w:pPr>
      <w:ind w:firstLine="0"/>
    </w:pPr>
  </w:style>
  <w:style w:type="paragraph" w:styleId="ListContinue5">
    <w:name w:val="List Continue 5"/>
    <w:basedOn w:val="List5"/>
    <w:rsid w:val="00AD412A"/>
    <w:pPr>
      <w:ind w:firstLine="0"/>
    </w:pPr>
  </w:style>
  <w:style w:type="paragraph" w:styleId="ListNumber3">
    <w:name w:val="List Number 3"/>
    <w:basedOn w:val="List3"/>
    <w:rsid w:val="00AD412A"/>
    <w:pPr>
      <w:numPr>
        <w:numId w:val="4"/>
      </w:numPr>
    </w:pPr>
  </w:style>
  <w:style w:type="paragraph" w:styleId="ListNumber4">
    <w:name w:val="List Number 4"/>
    <w:basedOn w:val="List4"/>
    <w:rsid w:val="00AD412A"/>
    <w:pPr>
      <w:numPr>
        <w:numId w:val="5"/>
      </w:numPr>
    </w:pPr>
  </w:style>
  <w:style w:type="paragraph" w:styleId="ListNumber5">
    <w:name w:val="List Number 5"/>
    <w:basedOn w:val="List5"/>
    <w:rsid w:val="00AD412A"/>
    <w:pPr>
      <w:numPr>
        <w:numId w:val="6"/>
      </w:numPr>
    </w:pPr>
  </w:style>
  <w:style w:type="paragraph" w:styleId="BlockText">
    <w:name w:val="Block Text"/>
    <w:basedOn w:val="Normal"/>
    <w:rsid w:val="00AD412A"/>
    <w:pPr>
      <w:spacing w:after="120"/>
      <w:ind w:left="1440" w:right="1440"/>
    </w:pPr>
  </w:style>
  <w:style w:type="character" w:customStyle="1" w:styleId="Subscript">
    <w:name w:val="Subscript"/>
    <w:basedOn w:val="DefaultParagraphFont"/>
    <w:rsid w:val="00AD412A"/>
    <w:rPr>
      <w:sz w:val="16"/>
      <w:vertAlign w:val="subscript"/>
    </w:rPr>
  </w:style>
  <w:style w:type="character" w:customStyle="1" w:styleId="Superscript">
    <w:name w:val="Superscript"/>
    <w:basedOn w:val="DefaultParagraphFont"/>
    <w:rsid w:val="00AD412A"/>
    <w:rPr>
      <w:sz w:val="16"/>
      <w:vertAlign w:val="superscript"/>
    </w:rPr>
  </w:style>
  <w:style w:type="character" w:customStyle="1" w:styleId="Symbols">
    <w:name w:val="Symbols"/>
    <w:basedOn w:val="DefaultParagraphFont"/>
    <w:rsid w:val="00AD412A"/>
    <w:rPr>
      <w:rFonts w:ascii="Symbol" w:hAnsi="Symbol"/>
    </w:rPr>
  </w:style>
  <w:style w:type="character" w:customStyle="1" w:styleId="MenuOptions">
    <w:name w:val="Menu Options"/>
    <w:basedOn w:val="DefaultParagraphFont"/>
    <w:rsid w:val="00AD412A"/>
    <w:rPr>
      <w:rFonts w:ascii="Arial Narrow" w:hAnsi="Arial Narrow"/>
      <w:smallCaps/>
    </w:rPr>
  </w:style>
  <w:style w:type="character" w:customStyle="1" w:styleId="Buttons">
    <w:name w:val="Buttons"/>
    <w:basedOn w:val="DefaultParagraphFont"/>
    <w:rsid w:val="00AD412A"/>
    <w:rPr>
      <w:b/>
    </w:rPr>
  </w:style>
  <w:style w:type="character" w:customStyle="1" w:styleId="Underlined">
    <w:name w:val="Underlined"/>
    <w:basedOn w:val="DefaultParagraphFont"/>
    <w:rsid w:val="00AD412A"/>
    <w:rPr>
      <w:u w:val="single"/>
    </w:rPr>
  </w:style>
  <w:style w:type="paragraph" w:customStyle="1" w:styleId="TableBodyTextRight">
    <w:name w:val="Table Body Text Right"/>
    <w:basedOn w:val="TableBodyText"/>
    <w:rsid w:val="00AD412A"/>
    <w:pPr>
      <w:widowControl w:val="0"/>
      <w:autoSpaceDE w:val="0"/>
      <w:autoSpaceDN w:val="0"/>
      <w:adjustRightInd w:val="0"/>
      <w:jc w:val="right"/>
    </w:pPr>
    <w:rPr>
      <w:rFonts w:cs="Arial"/>
      <w:szCs w:val="18"/>
    </w:rPr>
  </w:style>
  <w:style w:type="paragraph" w:customStyle="1" w:styleId="CopyrightText">
    <w:name w:val="Copyright Text"/>
    <w:basedOn w:val="BodyText"/>
    <w:rsid w:val="00AD412A"/>
    <w:rPr>
      <w:sz w:val="18"/>
    </w:rPr>
  </w:style>
  <w:style w:type="paragraph" w:customStyle="1" w:styleId="BodySmallRight">
    <w:name w:val="Body Small Right"/>
    <w:basedOn w:val="BodyTextRight"/>
    <w:rsid w:val="00AD412A"/>
    <w:rPr>
      <w:sz w:val="18"/>
      <w:szCs w:val="18"/>
    </w:rPr>
  </w:style>
  <w:style w:type="paragraph" w:customStyle="1" w:styleId="MarginEdition">
    <w:name w:val="Margin Edition"/>
    <w:basedOn w:val="MarginNote"/>
    <w:rsid w:val="00AD412A"/>
    <w:pPr>
      <w:spacing w:before="0" w:after="0"/>
    </w:pPr>
    <w:rPr>
      <w:rFonts w:ascii="Times New Roman" w:hAnsi="Times New Roman"/>
      <w:color w:val="999999"/>
    </w:rPr>
  </w:style>
  <w:style w:type="paragraph" w:customStyle="1" w:styleId="Spacer">
    <w:name w:val="Spacer"/>
    <w:basedOn w:val="Normal"/>
    <w:rsid w:val="00AD412A"/>
    <w:rPr>
      <w:sz w:val="2"/>
      <w:szCs w:val="2"/>
    </w:rPr>
  </w:style>
  <w:style w:type="character" w:customStyle="1" w:styleId="Small">
    <w:name w:val="Small"/>
    <w:basedOn w:val="DefaultParagraphFont"/>
    <w:rsid w:val="00AD412A"/>
    <w:rPr>
      <w:sz w:val="16"/>
    </w:rPr>
  </w:style>
  <w:style w:type="paragraph" w:customStyle="1" w:styleId="WideTable">
    <w:name w:val="Wide Table"/>
    <w:basedOn w:val="Normal"/>
    <w:rsid w:val="00AD412A"/>
    <w:pPr>
      <w:ind w:left="-1418"/>
    </w:pPr>
    <w:rPr>
      <w:sz w:val="2"/>
      <w:szCs w:val="2"/>
    </w:rPr>
  </w:style>
  <w:style w:type="character" w:styleId="PageNumber">
    <w:name w:val="page number"/>
    <w:basedOn w:val="DefaultParagraphFont"/>
    <w:rsid w:val="00AD412A"/>
  </w:style>
  <w:style w:type="paragraph" w:styleId="Quote">
    <w:name w:val="Quote"/>
    <w:basedOn w:val="Heading1"/>
    <w:link w:val="QuoteChar"/>
    <w:qFormat/>
    <w:rsid w:val="00AD412A"/>
    <w:rPr>
      <w:b w:val="0"/>
      <w:sz w:val="72"/>
      <w:szCs w:val="72"/>
      <w:lang w:val="en-NZ"/>
    </w:rPr>
  </w:style>
  <w:style w:type="character" w:customStyle="1" w:styleId="QuoteChar">
    <w:name w:val="Quote Char"/>
    <w:basedOn w:val="DefaultParagraphFont"/>
    <w:link w:val="Quote"/>
    <w:rsid w:val="00AD4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12A"/>
    <w:pPr>
      <w:pageBreakBefore/>
    </w:pPr>
  </w:style>
  <w:style w:type="paragraph" w:customStyle="1" w:styleId="Border">
    <w:name w:val="Border"/>
    <w:basedOn w:val="Normal"/>
    <w:qFormat/>
    <w:rsid w:val="00AD4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12A"/>
    <w:rPr>
      <w:b/>
      <w:bCs/>
      <w:i/>
      <w:iCs/>
      <w:color w:val="auto"/>
    </w:rPr>
  </w:style>
  <w:style w:type="paragraph" w:styleId="IntenseQuote">
    <w:name w:val="Intense Quote"/>
    <w:basedOn w:val="Normal"/>
    <w:next w:val="Normal"/>
    <w:link w:val="IntenseQuoteChar"/>
    <w:uiPriority w:val="30"/>
    <w:qFormat/>
    <w:rsid w:val="00AD4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412A"/>
    <w:rPr>
      <w:smallCaps/>
      <w:color w:val="auto"/>
      <w:u w:val="single"/>
    </w:rPr>
  </w:style>
  <w:style w:type="character" w:styleId="IntenseReference">
    <w:name w:val="Intense Reference"/>
    <w:basedOn w:val="DefaultParagraphFont"/>
    <w:uiPriority w:val="32"/>
    <w:qFormat/>
    <w:rsid w:val="00AD412A"/>
    <w:rPr>
      <w:b/>
      <w:bCs/>
      <w:smallCaps/>
      <w:color w:val="auto"/>
      <w:spacing w:val="5"/>
      <w:u w:val="single"/>
    </w:rPr>
  </w:style>
  <w:style w:type="paragraph" w:customStyle="1" w:styleId="2ColumnHeading">
    <w:name w:val="2Column Heading"/>
    <w:basedOn w:val="BodyText"/>
    <w:qFormat/>
    <w:rsid w:val="00AD412A"/>
    <w:pPr>
      <w:spacing w:after="60"/>
      <w:ind w:left="-2268"/>
    </w:pPr>
    <w:rPr>
      <w:b/>
    </w:rPr>
  </w:style>
  <w:style w:type="paragraph" w:customStyle="1" w:styleId="Heading1TOC">
    <w:name w:val="Heading1 TOC"/>
    <w:basedOn w:val="Normal"/>
    <w:qFormat/>
    <w:rsid w:val="00AD412A"/>
    <w:pPr>
      <w:spacing w:before="240" w:after="120"/>
    </w:pPr>
    <w:rPr>
      <w:rFonts w:ascii="Times New Roman" w:hAnsi="Times New Roman"/>
      <w:b/>
      <w:sz w:val="32"/>
    </w:rPr>
  </w:style>
  <w:style w:type="paragraph" w:customStyle="1" w:styleId="Heading2TOC">
    <w:name w:val="Heading2 TOC"/>
    <w:basedOn w:val="Normal"/>
    <w:qFormat/>
    <w:rsid w:val="00AD412A"/>
    <w:pPr>
      <w:spacing w:before="240" w:after="60"/>
    </w:pPr>
    <w:rPr>
      <w:rFonts w:ascii="Times New Roman" w:hAnsi="Times New Roman"/>
      <w:b/>
      <w:sz w:val="28"/>
    </w:rPr>
  </w:style>
  <w:style w:type="character" w:customStyle="1" w:styleId="Underline">
    <w:name w:val="Underline"/>
    <w:basedOn w:val="DefaultParagraphFont"/>
    <w:qFormat/>
    <w:rsid w:val="00AD412A"/>
    <w:rPr>
      <w:u w:val="single"/>
    </w:rPr>
  </w:style>
  <w:style w:type="paragraph" w:styleId="BalloonText">
    <w:name w:val="Balloon Text"/>
    <w:basedOn w:val="Normal"/>
    <w:link w:val="BalloonTextChar"/>
    <w:rsid w:val="00AD412A"/>
    <w:rPr>
      <w:rFonts w:ascii="Tahoma" w:hAnsi="Tahoma" w:cs="Tahoma"/>
      <w:sz w:val="16"/>
      <w:szCs w:val="16"/>
    </w:rPr>
  </w:style>
  <w:style w:type="character" w:customStyle="1" w:styleId="BalloonTextChar">
    <w:name w:val="Balloon Text Char"/>
    <w:basedOn w:val="DefaultParagraphFont"/>
    <w:link w:val="BalloonText"/>
    <w:rsid w:val="00AD4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5915</Characters>
  <Application>Microsoft Office Word</Application>
  <DocSecurity>0</DocSecurity>
  <Lines>217</Lines>
  <Paragraphs>107</Paragraphs>
  <ScaleCrop>false</ScaleCrop>
  <Company>Author-it Software Corporation Ltd.</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ICPPP272C Produce gravure cylinders manually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2012-05-27T01:10:00Z</dcterms:created>
  <dcterms:modified xsi:type="dcterms:W3CDTF">2012-05-27T01:10:00Z</dcterms:modified>
</cp:coreProperties>
</file>