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E68" w:rsidP="009D5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ICPSUP260 Maintain a safe work environment</w:t>
      </w:r>
      <w:r>
        <w:fldChar w:fldCharType="end"/>
      </w:r>
    </w:p>
    <w:p w:rsidR="009D5E68" w:rsidP="009D5E68">
      <w:pPr>
        <w:pStyle w:val="Version"/>
        <w:sectPr w:rsidSect="001B6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388" w:rsidP="001B6388">
      <w:pPr>
        <w:pStyle w:val="SuperHeading"/>
      </w:pPr>
      <w:r w:rsidRPr="001B6388">
        <w:t>ICPSUP260 Maintain a safe work environment</w:t>
      </w:r>
    </w:p>
    <w:p w:rsidR="00000000" w:rsidRPr="001B6388" w:rsidP="001B6388">
      <w:pPr>
        <w:pStyle w:val="Heading1"/>
      </w:pPr>
      <w:bookmarkStart w:id="1" w:name="O_711840"/>
      <w:bookmarkEnd w:id="1"/>
      <w:r w:rsidRPr="001B6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rPr>
                <w:rStyle w:val="SpecialBold"/>
              </w:rPr>
              <w:t>Comments</w:t>
            </w:r>
          </w:p>
        </w:tc>
      </w:tr>
      <w:tr w:rsidTr="001B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>This version first released with ICP Printing and Graphic Arts Training Package Version 1.0.</w:t>
            </w:r>
          </w:p>
        </w:tc>
      </w:tr>
    </w:tbl>
    <w:p w:rsidR="00000000" w:rsidRPr="001B6388" w:rsidP="001B6388">
      <w:pPr>
        <w:pStyle w:val="BodyText"/>
      </w:pPr>
    </w:p>
    <w:p w:rsidR="00000000" w:rsidRPr="001B6388" w:rsidP="001B6388">
      <w:pPr>
        <w:pStyle w:val="AllowPageBreak"/>
      </w:pPr>
    </w:p>
    <w:p w:rsidR="00000000" w:rsidRPr="001B6388" w:rsidP="001B6388">
      <w:pPr>
        <w:pStyle w:val="Heading1"/>
      </w:pPr>
      <w:bookmarkStart w:id="2" w:name="O_711841"/>
      <w:bookmarkEnd w:id="2"/>
      <w:r w:rsidRPr="001B6388">
        <w:t>Application</w:t>
      </w:r>
    </w:p>
    <w:p w:rsidR="00000000" w:rsidRPr="001B6388" w:rsidP="009D5E68">
      <w:pPr>
        <w:pStyle w:val="BodyText"/>
      </w:pPr>
      <w:r w:rsidRPr="001B6388">
        <w:t>This unit describes the skills and knowledge required to ensure work health and saf</w:t>
      </w:r>
      <w:r w:rsidRPr="001B6388">
        <w:t>ety (WHS) procedures are followed in environments where computers are predominately used, but which may include limited access to chemicals and solvents.</w:t>
      </w:r>
    </w:p>
    <w:p w:rsidR="00000000" w:rsidRPr="001B6388" w:rsidP="009D5E68">
      <w:pPr>
        <w:pStyle w:val="BodyText"/>
      </w:pPr>
      <w:r w:rsidRPr="001B6388">
        <w:t>It applies to individuals who perform a range of mainly routine tasks in various sectors of the print</w:t>
      </w:r>
      <w:r w:rsidRPr="001B6388">
        <w:t>ing and graphic arts industry, using limited practical skills and fundamental knowledge in a defined context. They generally work under direct supervision.</w:t>
      </w:r>
    </w:p>
    <w:p w:rsidR="00000000" w:rsidRPr="001B6388" w:rsidP="009D5E68">
      <w:pPr>
        <w:pStyle w:val="BodyText"/>
      </w:pPr>
      <w:r w:rsidRPr="001B6388">
        <w:t>No licensing, legislative or certification requirements apply to this unit at the time of publicati</w:t>
      </w:r>
      <w:r w:rsidRPr="001B6388">
        <w:t>on.</w:t>
      </w:r>
    </w:p>
    <w:p w:rsidR="00000000" w:rsidRPr="001B6388" w:rsidP="001B6388">
      <w:pPr>
        <w:pStyle w:val="Heading1"/>
      </w:pPr>
      <w:bookmarkStart w:id="3" w:name="O_711844"/>
      <w:bookmarkEnd w:id="3"/>
      <w:r w:rsidRPr="001B6388">
        <w:t>Unit Sector</w:t>
      </w:r>
    </w:p>
    <w:p w:rsidR="00000000" w:rsidRPr="001B6388" w:rsidP="009D5E68">
      <w:pPr>
        <w:pStyle w:val="BodyText"/>
      </w:pPr>
      <w:r w:rsidRPr="001B6388">
        <w:t>Support</w:t>
      </w:r>
    </w:p>
    <w:p w:rsidR="00000000" w:rsidRPr="001B6388" w:rsidP="001B6388">
      <w:pPr>
        <w:pStyle w:val="Heading1"/>
      </w:pPr>
      <w:bookmarkStart w:id="4" w:name="O_711845"/>
      <w:bookmarkEnd w:id="4"/>
      <w:r w:rsidRPr="001B63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63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rPr>
                <w:rStyle w:val="SpecialBold"/>
              </w:rPr>
              <w:t>PERFORMANCE CRITERIA</w:t>
            </w:r>
          </w:p>
        </w:tc>
      </w:tr>
      <w:tr w:rsidTr="001B63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3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 Follow workplace safety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>1.1 Hazards in work area are recognised while under direct supervision and reported to appropriate people according to en</w:t>
            </w:r>
            <w:r w:rsidRPr="001B6388">
              <w:t xml:space="preserve">terprise procedures 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1.2 Enterprise procedures and work instructions for assessing and controlling risks for own area of responsibility are followed accurately while under direct supervision </w:t>
            </w:r>
          </w:p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1.3 Enterprise procedures for dealing with incidents (accidents</w:t>
            </w:r>
            <w:r w:rsidRPr="001B6388">
              <w:t xml:space="preserve">), </w:t>
            </w:r>
            <w:r w:rsidRPr="001B6388">
              <w:t>fire and other emergencies are followed whenever necessary under direct supervision within scope of responsibilities and competencies</w:t>
            </w:r>
          </w:p>
        </w:tc>
      </w:tr>
      <w:tr w:rsidTr="001B63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2. Contribute to WHS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 xml:space="preserve">2.1 WHS issues are raised with appropriate people according to enterprise procedures and relevant WHS legislation  </w:t>
            </w:r>
          </w:p>
          <w:p w:rsidR="00000000" w:rsidRPr="001B6388" w:rsidP="001B6388">
            <w:pPr>
              <w:pStyle w:val="BodyText"/>
            </w:pPr>
            <w:r w:rsidRPr="001B6388">
              <w:t>2.2 Contributions to participative arrangements for WHS management in the workplace are made within organisational procedures and scope of r</w:t>
            </w:r>
            <w:r w:rsidRPr="001B6388">
              <w:t xml:space="preserve">esponsibilities and competencies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2.3 Information matching trail is documented  </w:t>
            </w:r>
          </w:p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2.4 Any discrepancies are reported to supervisor</w:t>
            </w:r>
          </w:p>
        </w:tc>
      </w:tr>
      <w:tr w:rsidTr="001B63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3. Ensure workspace health and safety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>3.1 Workspace, furniture and equipment are adjusted to suit ergonomic requirements of t</w:t>
            </w:r>
            <w:r w:rsidRPr="001B6388">
              <w:t xml:space="preserve">he individual 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3.2 Lighting is adjusted and glare is reduced to ensure healthy lighting levels  </w:t>
            </w:r>
          </w:p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3.3 Work organisation meets organisational and WHS requirements for computer operation</w:t>
            </w:r>
          </w:p>
        </w:tc>
      </w:tr>
      <w:tr w:rsidTr="001B63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4. Ensure safety from environmental discharges/emissions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>4.1 Chemicals</w:t>
            </w:r>
            <w:r w:rsidRPr="001B6388">
              <w:t xml:space="preserve"> and solvents are correctly stored and appropriate ventilation is available when using chemicals and solvents 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4.2 Abnormal or unacceptable emission levels are recognised and reported according to enterprise procedures 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4.3 Emission levels are monitored </w:t>
            </w:r>
            <w:r w:rsidRPr="001B6388">
              <w:t xml:space="preserve">and measured according to standard operating procedures where appropriate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4.4 Correct safety procedures are followed and personal protective equipment used properly  </w:t>
            </w:r>
          </w:p>
          <w:p w:rsidR="00000000" w:rsidRPr="001B6388" w:rsidP="001B6388">
            <w:pPr>
              <w:pStyle w:val="BodyText"/>
            </w:pPr>
            <w:r w:rsidRPr="001B6388">
              <w:t xml:space="preserve">4.5 Containment procedures are applied according to standard operating procedures where </w:t>
            </w:r>
            <w:r w:rsidRPr="001B6388">
              <w:t xml:space="preserve">required  </w:t>
            </w:r>
          </w:p>
          <w:p w:rsidR="00000000" w:rsidRPr="001B6388" w:rsidP="001B6388">
            <w:pPr>
              <w:pStyle w:val="BodyText"/>
            </w:pPr>
            <w:r w:rsidRPr="001B6388">
              <w:t>4.6 Waste removal from work area complies with enterprise procedures and environmental regulations</w:t>
            </w:r>
          </w:p>
        </w:tc>
      </w:tr>
    </w:tbl>
    <w:p w:rsidR="00000000" w:rsidRPr="001B6388" w:rsidP="001B6388">
      <w:pPr>
        <w:pStyle w:val="BodyText"/>
      </w:pPr>
    </w:p>
    <w:p w:rsidR="00000000" w:rsidRPr="001B6388" w:rsidP="001B6388">
      <w:pPr>
        <w:pStyle w:val="AllowPageBreak"/>
      </w:pPr>
    </w:p>
    <w:p w:rsidR="00000000" w:rsidRPr="001B6388" w:rsidP="001B6388">
      <w:pPr>
        <w:pStyle w:val="Heading1"/>
      </w:pPr>
      <w:bookmarkStart w:id="5" w:name="O_711846"/>
      <w:bookmarkEnd w:id="5"/>
      <w:r w:rsidRPr="001B6388">
        <w:t>Foundation Skills</w:t>
      </w:r>
    </w:p>
    <w:p w:rsidR="00000000" w:rsidRPr="009D5E68" w:rsidP="009D5E68">
      <w:pPr>
        <w:pStyle w:val="BodyText"/>
        <w:rPr>
          <w:i/>
        </w:rPr>
      </w:pPr>
      <w:r w:rsidRPr="009D5E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rPr>
                <w:rStyle w:val="SpecialBold"/>
              </w:rPr>
              <w:t>Description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1.1-1.3, 2.1, 2.2, 4.2, 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ListBullet"/>
              <w:rPr>
                <w:lang w:val="en-NZ"/>
              </w:rPr>
            </w:pPr>
            <w:r w:rsidRPr="001B6388">
              <w:t>Recognises and</w:t>
            </w:r>
            <w:r w:rsidRPr="001B6388">
              <w:t xml:space="preserve"> interprets textual information to determine and adhere to requirements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1.1, 2.1-2.4,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ListBullet"/>
              <w:rPr>
                <w:lang w:val="en-NZ"/>
              </w:rPr>
            </w:pPr>
            <w:r w:rsidRPr="001B6388">
              <w:t>Uses clear, specific and industry related terminology to complete and update workplace documentation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1.1, 2.1, 2.2, 2.4, 4.2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ListBullet"/>
              <w:rPr>
                <w:lang w:val="en-NZ"/>
              </w:rPr>
            </w:pPr>
            <w:r w:rsidRPr="001B6388">
              <w:t xml:space="preserve">Uses listening and questioning techniques to confirm requirements 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ListBullet"/>
              <w:rPr>
                <w:lang w:val="en-NZ"/>
              </w:rPr>
            </w:pPr>
            <w:r w:rsidRPr="001B6388">
              <w:t>Analyses numerical information to measure acceptable and safe emissions in the workplace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1.1, 1.3, 2.1, 2.2, 3.1-3.3, 4.2,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ListBullet"/>
              <w:rPr>
                <w:lang w:val="en-NZ"/>
              </w:rPr>
            </w:pPr>
            <w:r w:rsidRPr="001B6388">
              <w:t>Monitors</w:t>
            </w:r>
            <w:r w:rsidRPr="001B6388">
              <w:t xml:space="preserve"> adherence to organisational policies, procedures and legislative requirements with specific reference to safety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1.1, 2.1, 2.2, 2.4, 4.2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ListBullet"/>
              <w:rPr>
                <w:lang w:val="en-NZ"/>
              </w:rPr>
            </w:pPr>
            <w:r w:rsidRPr="001B6388">
              <w:t>Uses appropriate communication protocols and conventions to report issues</w:t>
            </w:r>
          </w:p>
        </w:tc>
      </w:tr>
      <w:tr w:rsidTr="001B63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3.1-3.3, 4.1,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ListBullet"/>
            </w:pPr>
            <w:r w:rsidRPr="001B6388">
              <w:t>Plans and implements routine tasks with familiar goals and outcomes</w:t>
            </w:r>
          </w:p>
          <w:p w:rsidR="00000000" w:rsidRPr="001B6388" w:rsidP="001B6388">
            <w:pPr>
              <w:pStyle w:val="ListBullet"/>
            </w:pPr>
            <w:r w:rsidRPr="001B6388">
              <w:t>Takes responsibility for routine low-impact decisions within familiar situations</w:t>
            </w:r>
          </w:p>
          <w:p w:rsidR="00000000" w:rsidRPr="001B6388" w:rsidP="001B6388">
            <w:pPr>
              <w:pStyle w:val="ListBullet"/>
            </w:pPr>
            <w:r w:rsidRPr="001B6388">
              <w:t>Begins to identify and implement standard solutions for an increasing number of rou</w:t>
            </w:r>
            <w:r w:rsidRPr="001B6388">
              <w:t>tine problems</w:t>
            </w:r>
          </w:p>
        </w:tc>
      </w:tr>
    </w:tbl>
    <w:p w:rsidR="00000000" w:rsidRPr="001B6388" w:rsidP="001B6388">
      <w:pPr>
        <w:pStyle w:val="BodyText"/>
      </w:pPr>
    </w:p>
    <w:p w:rsidR="00000000" w:rsidRPr="001B6388" w:rsidP="001B6388">
      <w:pPr>
        <w:pStyle w:val="AllowPageBreak"/>
      </w:pPr>
    </w:p>
    <w:p w:rsidR="00000000" w:rsidRPr="001B6388" w:rsidP="001B6388">
      <w:pPr>
        <w:pStyle w:val="Heading1"/>
      </w:pPr>
      <w:bookmarkStart w:id="6" w:name="O_711848"/>
      <w:bookmarkEnd w:id="6"/>
      <w:r w:rsidRPr="001B63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 xml:space="preserve">Code and title </w:t>
            </w:r>
          </w:p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Code and title</w:t>
            </w:r>
          </w:p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rPr>
                <w:rStyle w:val="SpecialBold"/>
              </w:rPr>
              <w:t>Equivalence status</w:t>
            </w:r>
          </w:p>
        </w:tc>
      </w:tr>
      <w:tr w:rsidTr="001B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ICPSUP260 Maintain a safe work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ICPSU260C Maintain a safe work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Updated to mee</w:t>
            </w:r>
            <w:r w:rsidRPr="001B6388">
              <w:t>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>Equivalent unit</w:t>
            </w:r>
          </w:p>
        </w:tc>
      </w:tr>
    </w:tbl>
    <w:p w:rsidR="00000000" w:rsidRPr="001B6388" w:rsidP="001B6388">
      <w:pPr>
        <w:pStyle w:val="BodyText"/>
      </w:pPr>
    </w:p>
    <w:p w:rsidR="00000000" w:rsidRPr="001B6388" w:rsidP="001B6388">
      <w:pPr>
        <w:pStyle w:val="AllowPageBreak"/>
      </w:pPr>
    </w:p>
    <w:p w:rsidR="00000000" w:rsidRPr="001B6388" w:rsidP="001B6388">
      <w:pPr>
        <w:pStyle w:val="Heading1"/>
      </w:pPr>
      <w:bookmarkStart w:id="7" w:name="O_711855"/>
      <w:bookmarkEnd w:id="7"/>
      <w:r w:rsidRPr="001B6388">
        <w:t>Links</w:t>
      </w:r>
    </w:p>
    <w:p w:rsidR="00000000" w:rsidRPr="001B6388" w:rsidP="009D5E68">
      <w:pPr>
        <w:pStyle w:val="BodyText"/>
      </w:pPr>
      <w:r w:rsidRPr="001B6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0147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B6388" w:rsidP="009D5E68">
      <w:pPr>
        <w:pStyle w:val="BodyText"/>
        <w:sectPr w:rsidSect="001B63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6388" w:rsidP="001B6388">
      <w:pPr>
        <w:pStyle w:val="SuperHeading"/>
      </w:pPr>
      <w:r w:rsidRPr="001B6388">
        <w:t>Assessment Requirements for ICPSUP260 Maintain a safe work environment</w:t>
      </w:r>
    </w:p>
    <w:p w:rsidR="00000000" w:rsidRPr="001B6388" w:rsidP="001B6388">
      <w:pPr>
        <w:pStyle w:val="Heading1"/>
      </w:pPr>
      <w:bookmarkStart w:id="8" w:name="O_711850"/>
      <w:bookmarkEnd w:id="8"/>
      <w:r w:rsidRPr="001B6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rPr>
                <w:rStyle w:val="SpecialBold"/>
              </w:rPr>
              <w:t>Comments</w:t>
            </w:r>
          </w:p>
        </w:tc>
      </w:tr>
      <w:tr w:rsidTr="001B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88">
            <w:pPr>
              <w:pStyle w:val="BodyText"/>
              <w:rPr>
                <w:lang w:val="en-NZ"/>
              </w:rPr>
            </w:pPr>
            <w:r w:rsidRPr="001B63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88" w:rsidP="001B6388">
            <w:pPr>
              <w:pStyle w:val="BodyText"/>
            </w:pPr>
            <w:r w:rsidRPr="001B6388">
              <w:t>This version first released with ICP Printing and Graphic Arts Training Package Version 1.0.</w:t>
            </w:r>
          </w:p>
        </w:tc>
      </w:tr>
    </w:tbl>
    <w:p w:rsidR="00000000" w:rsidRPr="001B6388" w:rsidP="001B6388">
      <w:pPr>
        <w:pStyle w:val="BodyText"/>
      </w:pPr>
    </w:p>
    <w:p w:rsidR="00000000" w:rsidRPr="001B6388" w:rsidP="001B6388">
      <w:pPr>
        <w:pStyle w:val="AllowPageBreak"/>
      </w:pPr>
    </w:p>
    <w:p w:rsidR="00000000" w:rsidRPr="001B6388" w:rsidP="001B6388">
      <w:pPr>
        <w:pStyle w:val="Heading1"/>
      </w:pPr>
      <w:bookmarkStart w:id="9" w:name="O_711851"/>
      <w:bookmarkEnd w:id="9"/>
      <w:r w:rsidRPr="001B6388">
        <w:t>Performance Evidence</w:t>
      </w:r>
    </w:p>
    <w:p w:rsidR="00000000" w:rsidRPr="001B6388" w:rsidP="009D5E68">
      <w:pPr>
        <w:pStyle w:val="BodyText"/>
      </w:pPr>
      <w:r w:rsidRPr="001B6388">
        <w:t>Evidence of the ability to:</w:t>
      </w:r>
    </w:p>
    <w:p w:rsidR="00000000" w:rsidRPr="001B6388" w:rsidP="001B6388">
      <w:pPr>
        <w:pStyle w:val="ListBullet"/>
      </w:pPr>
      <w:r w:rsidRPr="001B6388">
        <w:t>follow workplace safety directions/procedures</w:t>
      </w:r>
    </w:p>
    <w:p w:rsidR="00000000" w:rsidRPr="001B6388" w:rsidP="001B6388">
      <w:pPr>
        <w:pStyle w:val="ListBullet"/>
      </w:pPr>
      <w:r w:rsidRPr="001B6388">
        <w:t>recognise and report hazards according to enterprise procedures</w:t>
      </w:r>
    </w:p>
    <w:p w:rsidR="00000000" w:rsidRPr="001B6388" w:rsidP="001B6388">
      <w:pPr>
        <w:pStyle w:val="ListBullet"/>
      </w:pPr>
      <w:r w:rsidRPr="001B6388">
        <w:t>adjust own workspace to meet WHS requirements</w:t>
      </w:r>
    </w:p>
    <w:p w:rsidR="00000000" w:rsidRPr="001B6388" w:rsidP="001B6388">
      <w:pPr>
        <w:pStyle w:val="ListBullet"/>
      </w:pPr>
      <w:r w:rsidRPr="001B6388">
        <w:t>raise work health and safety (WHS) issues</w:t>
      </w:r>
    </w:p>
    <w:p w:rsidR="00000000" w:rsidRPr="001B6388" w:rsidP="001B6388">
      <w:pPr>
        <w:pStyle w:val="ListBullet"/>
      </w:pPr>
      <w:r w:rsidRPr="001B6388">
        <w:t>contribute to participative arrangements for WHS management in the workplace.</w:t>
      </w:r>
    </w:p>
    <w:p w:rsidR="00000000" w:rsidRPr="001B6388" w:rsidP="001B6388">
      <w:pPr>
        <w:pStyle w:val="BodyText"/>
      </w:pPr>
    </w:p>
    <w:p w:rsidR="00000000" w:rsidRPr="001B6388" w:rsidP="009D5E68">
      <w:pPr>
        <w:pStyle w:val="BodyText"/>
      </w:pPr>
      <w:r w:rsidRPr="001B6388">
        <w:t>Note: If a specific volume or frequency is not stated, then evidence must be provided at least once.</w:t>
      </w:r>
    </w:p>
    <w:p w:rsidR="00000000" w:rsidRPr="001B6388" w:rsidP="001B6388">
      <w:pPr>
        <w:pStyle w:val="Heading1"/>
      </w:pPr>
      <w:bookmarkStart w:id="10" w:name="O_711852"/>
      <w:bookmarkEnd w:id="10"/>
      <w:r w:rsidRPr="001B6388">
        <w:t>Knowledge Evidenc</w:t>
      </w:r>
      <w:r w:rsidRPr="001B6388">
        <w:t>e</w:t>
      </w:r>
    </w:p>
    <w:p w:rsidR="00000000" w:rsidRPr="001B6388" w:rsidP="009D5E68">
      <w:pPr>
        <w:pStyle w:val="BodyText"/>
      </w:pPr>
      <w:r w:rsidRPr="001B6388">
        <w:t xml:space="preserve">To complete the unit requirements safely and effectively, the individual must: </w:t>
      </w:r>
    </w:p>
    <w:p w:rsidR="00000000" w:rsidRPr="001B6388" w:rsidP="001B6388">
      <w:pPr>
        <w:pStyle w:val="ListBullet"/>
      </w:pPr>
      <w:r w:rsidRPr="001B6388">
        <w:t>outline relevant legislation from all levels of government which affect business operations, especially in regard to WHS and environmental issues</w:t>
      </w:r>
    </w:p>
    <w:p w:rsidR="00000000" w:rsidRPr="001B6388" w:rsidP="001B6388">
      <w:pPr>
        <w:pStyle w:val="ListBullet"/>
      </w:pPr>
      <w:r w:rsidRPr="001B6388">
        <w:t>describe how WHS is managed</w:t>
      </w:r>
      <w:r w:rsidRPr="001B6388">
        <w:t xml:space="preserve"> in the workplace, including procedures for fire, emergency, accident and near-miss, and control of risks</w:t>
      </w:r>
    </w:p>
    <w:p w:rsidR="00000000" w:rsidRPr="001B6388" w:rsidP="001B6388">
      <w:pPr>
        <w:pStyle w:val="ListBullet"/>
      </w:pPr>
      <w:r w:rsidRPr="001B6388">
        <w:t>summarise possible workplace hazards</w:t>
      </w:r>
    </w:p>
    <w:p w:rsidR="00000000" w:rsidRPr="001B6388" w:rsidP="001B6388">
      <w:pPr>
        <w:pStyle w:val="ListBullet"/>
      </w:pPr>
      <w:r w:rsidRPr="001B6388">
        <w:t>identify designated personnel responsible for reporting WHS concerns</w:t>
      </w:r>
    </w:p>
    <w:p w:rsidR="00000000" w:rsidRPr="001B6388" w:rsidP="001B6388">
      <w:pPr>
        <w:pStyle w:val="ListBullet"/>
      </w:pPr>
      <w:r w:rsidRPr="001B6388">
        <w:t>explain the meaning of WHS signs and symbols</w:t>
      </w:r>
      <w:r w:rsidRPr="001B6388">
        <w:t xml:space="preserve"> relevant to the area of work.</w:t>
      </w:r>
    </w:p>
    <w:p w:rsidR="00000000" w:rsidRPr="001B6388" w:rsidP="001B6388">
      <w:pPr>
        <w:pStyle w:val="AllowPageBreak"/>
      </w:pPr>
    </w:p>
    <w:p w:rsidR="00000000" w:rsidRPr="001B6388" w:rsidP="001B6388">
      <w:pPr>
        <w:pStyle w:val="Heading1"/>
      </w:pPr>
      <w:bookmarkStart w:id="11" w:name="O_711853"/>
      <w:bookmarkEnd w:id="11"/>
      <w:r w:rsidRPr="001B6388">
        <w:t>Assessment Conditions</w:t>
      </w:r>
    </w:p>
    <w:p w:rsidR="00000000" w:rsidRPr="001B6388" w:rsidP="009D5E68">
      <w:pPr>
        <w:pStyle w:val="BodyText"/>
      </w:pPr>
      <w:r w:rsidRPr="001B6388">
        <w:t>Gather evidence to demonstrate consistent performance in conditions that are safe and replicate the workplace. Noise levels, production flow, interruptions and time variances must be typ</w:t>
      </w:r>
      <w:r w:rsidRPr="001B6388">
        <w:t>ical of those experienced in the Support field of work and include access to appropriate documentation and resources normally used in the workplace.</w:t>
      </w:r>
    </w:p>
    <w:p w:rsidR="00000000" w:rsidRPr="001B6388" w:rsidP="009D5E68">
      <w:pPr>
        <w:pStyle w:val="BodyText"/>
      </w:pPr>
      <w:r w:rsidRPr="001B6388">
        <w:t xml:space="preserve">Assessors must satisfy NVR/AQTF assessor requirements.  </w:t>
      </w:r>
    </w:p>
    <w:p w:rsidR="00000000" w:rsidRPr="001B6388" w:rsidP="001B6388">
      <w:pPr>
        <w:pStyle w:val="Heading1"/>
      </w:pPr>
      <w:bookmarkStart w:id="12" w:name="O_711856"/>
      <w:bookmarkEnd w:id="12"/>
      <w:r w:rsidRPr="001B6388">
        <w:t>Links</w:t>
      </w:r>
    </w:p>
    <w:p w:rsidR="00000000" w:rsidRPr="001B6388" w:rsidP="009D5E68">
      <w:pPr>
        <w:pStyle w:val="BodyText"/>
      </w:pPr>
      <w:r w:rsidRPr="001B6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0147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B6388" w:rsidP="001B6388"/>
    <w:sectPr w:rsidSect="001B63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 w:rsidRPr="009D5E68" w:rsidP="009D5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68" w:rsidP="001B6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E68" w:rsidP="001B6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5E68" w:rsidP="001B63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 w:rsidP="001B6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E68">
      <w:t>Approved</w:t>
    </w:r>
    <w:r w:rsidR="009D5E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E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E68">
      <w:rPr>
        <w:noProof/>
      </w:rPr>
      <w:t>4</w:t>
    </w:r>
    <w:r>
      <w:rPr>
        <w:noProof/>
      </w:rPr>
      <w:fldChar w:fldCharType="end"/>
    </w:r>
  </w:p>
  <w:p w:rsidR="001B6388" w:rsidP="001B6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E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E68">
      <w:t>Manufacturing Industry Skills Alliance</w:t>
    </w:r>
    <w:r w:rsidR="009D5E68">
      <w:fldChar w:fldCharType="end"/>
    </w:r>
  </w:p>
  <w:p w:rsidR="001B6388" w:rsidP="001B6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388" w:rsidRPr="009D5E68" w:rsidP="009D5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68" w:rsidRPr="002D2AF8" w:rsidP="001B6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ICPSUP260 Maintain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E68" w:rsidP="001B63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88" w:rsidRPr="002D2AF8" w:rsidP="001B6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E68">
      <w:t>ICPSUP260 Maintain a safe work environment</w:t>
    </w:r>
    <w:r w:rsidR="009D5E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E68">
      <w:rPr>
        <w:noProof/>
      </w:rPr>
      <w:t>2 March 2025</w:t>
    </w:r>
    <w:r>
      <w:fldChar w:fldCharType="end"/>
    </w:r>
  </w:p>
  <w:p w:rsidR="001B6388" w:rsidP="001B6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1C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249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388"/>
  </w:style>
  <w:style w:type="character" w:customStyle="1" w:styleId="Heading1Char">
    <w:name w:val="Heading 1 Char"/>
    <w:basedOn w:val="DefaultParagraphFont"/>
    <w:link w:val="Heading1"/>
    <w:rsid w:val="001B6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388"/>
    <w:rPr>
      <w:b/>
      <w:spacing w:val="0"/>
    </w:rPr>
  </w:style>
  <w:style w:type="character" w:styleId="Emphasis">
    <w:name w:val="Emphasis"/>
    <w:basedOn w:val="DefaultParagraphFont"/>
    <w:qFormat/>
    <w:rsid w:val="001B6388"/>
    <w:rPr>
      <w:i/>
    </w:rPr>
  </w:style>
  <w:style w:type="paragraph" w:customStyle="1" w:styleId="SuperHeading">
    <w:name w:val="SuperHeading"/>
    <w:basedOn w:val="Normal"/>
    <w:rsid w:val="001B6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3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388"/>
  </w:style>
  <w:style w:type="paragraph" w:styleId="TableofFigures">
    <w:name w:val="table of figures"/>
    <w:basedOn w:val="Normal"/>
    <w:next w:val="Normal"/>
    <w:semiHidden/>
    <w:rsid w:val="001B6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388"/>
    <w:rPr>
      <w:rFonts w:ascii="Wingdings" w:hAnsi="Wingdings"/>
    </w:rPr>
  </w:style>
  <w:style w:type="paragraph" w:customStyle="1" w:styleId="TableHeading">
    <w:name w:val="Table Heading"/>
    <w:basedOn w:val="HeadingBase"/>
    <w:rsid w:val="001B6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388"/>
    <w:rPr>
      <w:color w:val="0033CC"/>
      <w:u w:val="none"/>
    </w:rPr>
  </w:style>
  <w:style w:type="paragraph" w:customStyle="1" w:styleId="BodyTextRight">
    <w:name w:val="Body Text Right"/>
    <w:basedOn w:val="BodyText"/>
    <w:rsid w:val="001B6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388"/>
    <w:rPr>
      <w:sz w:val="32"/>
    </w:rPr>
  </w:style>
  <w:style w:type="paragraph" w:customStyle="1" w:styleId="HeadingProcedure">
    <w:name w:val="Heading Procedure"/>
    <w:basedOn w:val="HeadingBase"/>
    <w:next w:val="Normal"/>
    <w:rsid w:val="001B6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388"/>
    <w:pPr>
      <w:spacing w:before="60" w:after="60"/>
    </w:pPr>
  </w:style>
  <w:style w:type="paragraph" w:styleId="ListContinue">
    <w:name w:val="List Continue"/>
    <w:basedOn w:val="List"/>
    <w:rsid w:val="001B6388"/>
    <w:pPr>
      <w:ind w:firstLine="0"/>
    </w:pPr>
  </w:style>
  <w:style w:type="paragraph" w:customStyle="1" w:styleId="ListNote">
    <w:name w:val="List Note"/>
    <w:basedOn w:val="List"/>
    <w:rsid w:val="001B6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388"/>
    <w:rPr>
      <w:rFonts w:ascii="Courier New" w:hAnsi="Courier New"/>
    </w:rPr>
  </w:style>
  <w:style w:type="paragraph" w:customStyle="1" w:styleId="NoteBullet">
    <w:name w:val="Note Bullet"/>
    <w:basedOn w:val="Note"/>
    <w:rsid w:val="001B6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388"/>
    <w:rPr>
      <w:b/>
      <w:smallCaps/>
    </w:rPr>
  </w:style>
  <w:style w:type="paragraph" w:customStyle="1" w:styleId="TableListNumber">
    <w:name w:val="Table List Number"/>
    <w:basedOn w:val="ListNumber"/>
    <w:rsid w:val="001B6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388"/>
    <w:pPr>
      <w:numPr>
        <w:numId w:val="8"/>
      </w:numPr>
    </w:pPr>
  </w:style>
  <w:style w:type="paragraph" w:customStyle="1" w:styleId="ListAlpha2">
    <w:name w:val="List Alpha 2"/>
    <w:basedOn w:val="List2"/>
    <w:rsid w:val="001B6388"/>
    <w:pPr>
      <w:numPr>
        <w:numId w:val="7"/>
      </w:numPr>
    </w:pPr>
  </w:style>
  <w:style w:type="paragraph" w:styleId="List2">
    <w:name w:val="List 2"/>
    <w:basedOn w:val="BodyText"/>
    <w:rsid w:val="001B6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388"/>
    <w:pPr>
      <w:numPr>
        <w:numId w:val="3"/>
      </w:numPr>
    </w:pPr>
  </w:style>
  <w:style w:type="paragraph" w:styleId="ListContinue2">
    <w:name w:val="List Continue 2"/>
    <w:basedOn w:val="List2"/>
    <w:rsid w:val="001B6388"/>
    <w:pPr>
      <w:ind w:firstLine="0"/>
    </w:pPr>
  </w:style>
  <w:style w:type="paragraph" w:styleId="ListContinue3">
    <w:name w:val="List Continue 3"/>
    <w:basedOn w:val="List3"/>
    <w:rsid w:val="001B6388"/>
    <w:pPr>
      <w:ind w:left="1021" w:firstLine="0"/>
    </w:pPr>
  </w:style>
  <w:style w:type="paragraph" w:styleId="ListContinue4">
    <w:name w:val="List Continue 4"/>
    <w:basedOn w:val="List4"/>
    <w:rsid w:val="001B6388"/>
    <w:pPr>
      <w:ind w:firstLine="0"/>
    </w:pPr>
  </w:style>
  <w:style w:type="paragraph" w:styleId="ListContinue5">
    <w:name w:val="List Continue 5"/>
    <w:basedOn w:val="List5"/>
    <w:rsid w:val="001B6388"/>
    <w:pPr>
      <w:ind w:firstLine="0"/>
    </w:pPr>
  </w:style>
  <w:style w:type="paragraph" w:styleId="ListNumber3">
    <w:name w:val="List Number 3"/>
    <w:basedOn w:val="List3"/>
    <w:rsid w:val="001B6388"/>
    <w:pPr>
      <w:numPr>
        <w:numId w:val="4"/>
      </w:numPr>
    </w:pPr>
  </w:style>
  <w:style w:type="paragraph" w:styleId="ListNumber4">
    <w:name w:val="List Number 4"/>
    <w:basedOn w:val="List4"/>
    <w:rsid w:val="001B6388"/>
    <w:pPr>
      <w:numPr>
        <w:numId w:val="5"/>
      </w:numPr>
    </w:pPr>
  </w:style>
  <w:style w:type="paragraph" w:styleId="ListNumber5">
    <w:name w:val="List Number 5"/>
    <w:basedOn w:val="List5"/>
    <w:rsid w:val="001B6388"/>
    <w:pPr>
      <w:numPr>
        <w:numId w:val="6"/>
      </w:numPr>
    </w:pPr>
  </w:style>
  <w:style w:type="paragraph" w:styleId="BlockText">
    <w:name w:val="Block Text"/>
    <w:basedOn w:val="Normal"/>
    <w:rsid w:val="001B6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388"/>
    <w:rPr>
      <w:sz w:val="16"/>
      <w:vertAlign w:val="superscript"/>
    </w:rPr>
  </w:style>
  <w:style w:type="character" w:customStyle="1" w:styleId="Symbols">
    <w:name w:val="Symbols"/>
    <w:basedOn w:val="DefaultParagraphFont"/>
    <w:rsid w:val="001B6388"/>
    <w:rPr>
      <w:rFonts w:ascii="Symbol" w:hAnsi="Symbol"/>
    </w:rPr>
  </w:style>
  <w:style w:type="character" w:customStyle="1" w:styleId="MenuOptions">
    <w:name w:val="Menu Options"/>
    <w:basedOn w:val="DefaultParagraphFont"/>
    <w:rsid w:val="001B6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388"/>
    <w:rPr>
      <w:b/>
    </w:rPr>
  </w:style>
  <w:style w:type="character" w:customStyle="1" w:styleId="Underlined">
    <w:name w:val="Underlined"/>
    <w:basedOn w:val="DefaultParagraphFont"/>
    <w:rsid w:val="001B6388"/>
    <w:rPr>
      <w:u w:val="single"/>
    </w:rPr>
  </w:style>
  <w:style w:type="paragraph" w:customStyle="1" w:styleId="TableBodyTextRight">
    <w:name w:val="Table Body Text Right"/>
    <w:basedOn w:val="TableBodyText"/>
    <w:rsid w:val="001B6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388"/>
    <w:rPr>
      <w:sz w:val="18"/>
    </w:rPr>
  </w:style>
  <w:style w:type="paragraph" w:customStyle="1" w:styleId="BodySmallRight">
    <w:name w:val="Body Small Right"/>
    <w:basedOn w:val="BodyTextRight"/>
    <w:rsid w:val="001B6388"/>
    <w:rPr>
      <w:sz w:val="18"/>
      <w:szCs w:val="18"/>
    </w:rPr>
  </w:style>
  <w:style w:type="paragraph" w:customStyle="1" w:styleId="MarginEdition">
    <w:name w:val="Margin Edition"/>
    <w:basedOn w:val="MarginNote"/>
    <w:rsid w:val="001B6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388"/>
    <w:rPr>
      <w:sz w:val="2"/>
      <w:szCs w:val="2"/>
    </w:rPr>
  </w:style>
  <w:style w:type="character" w:customStyle="1" w:styleId="Small">
    <w:name w:val="Small"/>
    <w:basedOn w:val="DefaultParagraphFont"/>
    <w:rsid w:val="001B6388"/>
    <w:rPr>
      <w:sz w:val="16"/>
    </w:rPr>
  </w:style>
  <w:style w:type="paragraph" w:customStyle="1" w:styleId="WideTable">
    <w:name w:val="Wide Table"/>
    <w:basedOn w:val="Normal"/>
    <w:rsid w:val="001B6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388"/>
  </w:style>
  <w:style w:type="paragraph" w:styleId="Quote">
    <w:name w:val="Quote"/>
    <w:basedOn w:val="Heading1"/>
    <w:link w:val="QuoteChar"/>
    <w:qFormat/>
    <w:rsid w:val="001B6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388"/>
    <w:pPr>
      <w:pageBreakBefore/>
    </w:pPr>
  </w:style>
  <w:style w:type="paragraph" w:customStyle="1" w:styleId="Border">
    <w:name w:val="Border"/>
    <w:basedOn w:val="Normal"/>
    <w:qFormat/>
    <w:rsid w:val="001B6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388"/>
    <w:rPr>
      <w:u w:val="single"/>
    </w:rPr>
  </w:style>
  <w:style w:type="character" w:customStyle="1" w:styleId="BoldandItalics">
    <w:name w:val="Bold and Italics"/>
    <w:qFormat/>
    <w:rsid w:val="001B6388"/>
    <w:rPr>
      <w:b/>
      <w:i/>
      <w:u w:val="none"/>
    </w:rPr>
  </w:style>
  <w:style w:type="paragraph" w:styleId="BalloonText">
    <w:name w:val="Balloon Text"/>
    <w:basedOn w:val="Normal"/>
    <w:link w:val="BalloonTextChar"/>
    <w:rsid w:val="001B6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388"/>
    <w:pPr>
      <w:spacing w:before="0" w:after="0"/>
    </w:pPr>
  </w:style>
  <w:style w:type="paragraph" w:customStyle="1" w:styleId="BodyTextBold">
    <w:name w:val="Body Text Bold"/>
    <w:basedOn w:val="BodyText"/>
    <w:qFormat/>
    <w:rsid w:val="001B6388"/>
    <w:rPr>
      <w:b/>
    </w:rPr>
  </w:style>
  <w:style w:type="character" w:styleId="Hyperlink">
    <w:name w:val="Hyperlink"/>
    <w:basedOn w:val="DefaultParagraphFont"/>
    <w:uiPriority w:val="99"/>
    <w:unhideWhenUsed/>
    <w:rsid w:val="009D5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5902</Characters>
  <Application>Microsoft Office Word</Application>
  <DocSecurity>0</DocSecurity>
  <Lines>210</Lines>
  <Paragraphs>126</Paragraphs>
  <ScaleCrop>false</ScaleCrop>
  <Company>Author-it Software Corporation Ltd.</Company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ICPSUP260 Maintain a safe work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