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371" w:rsidP="00495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ICPSUP2110 Prepare inks and additives</w:t>
      </w:r>
      <w:r>
        <w:fldChar w:fldCharType="end"/>
      </w:r>
    </w:p>
    <w:p w:rsidR="00495371" w:rsidP="00495371">
      <w:pPr>
        <w:pStyle w:val="Version"/>
        <w:sectPr w:rsidSect="00402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839" w:rsidP="00402839">
      <w:pPr>
        <w:pStyle w:val="SuperHeading"/>
      </w:pPr>
      <w:r w:rsidRPr="00402839">
        <w:t>ICPSUP2110 Prepare inks and additives</w:t>
      </w:r>
    </w:p>
    <w:p w:rsidR="00000000" w:rsidRPr="00402839" w:rsidP="00402839">
      <w:pPr>
        <w:pStyle w:val="Heading1"/>
      </w:pPr>
      <w:bookmarkStart w:id="1" w:name="O_1069926"/>
      <w:bookmarkEnd w:id="1"/>
      <w:r w:rsidRPr="004028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02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BodyText"/>
            </w:pPr>
            <w:r w:rsidRPr="004028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rPr>
                <w:rStyle w:val="SpecialBold"/>
              </w:rPr>
              <w:t>Comments</w:t>
            </w:r>
          </w:p>
        </w:tc>
      </w:tr>
      <w:tr w:rsidTr="00402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BodyText"/>
            </w:pPr>
            <w:r w:rsidRPr="00402839">
              <w:t>This version first released with ICP Printing and Graphic Arts Training Package Version 4.0.</w:t>
            </w:r>
          </w:p>
        </w:tc>
      </w:tr>
    </w:tbl>
    <w:p w:rsidR="00000000" w:rsidRPr="00402839" w:rsidP="00402839">
      <w:pPr>
        <w:pStyle w:val="BodyText"/>
      </w:pPr>
    </w:p>
    <w:p w:rsidR="00000000" w:rsidRPr="00402839" w:rsidP="00402839">
      <w:pPr>
        <w:pStyle w:val="AllowPageBreak"/>
      </w:pPr>
    </w:p>
    <w:p w:rsidR="00000000" w:rsidRPr="00402839" w:rsidP="00402839">
      <w:pPr>
        <w:pStyle w:val="Heading1"/>
      </w:pPr>
      <w:bookmarkStart w:id="2" w:name="O_1069931"/>
      <w:bookmarkEnd w:id="2"/>
      <w:r w:rsidRPr="00402839">
        <w:t>Application</w:t>
      </w:r>
    </w:p>
    <w:p w:rsidR="00000000" w:rsidRPr="00402839" w:rsidP="00495371">
      <w:pPr>
        <w:pStyle w:val="BodyText"/>
      </w:pPr>
      <w:r w:rsidRPr="00402839">
        <w:t>This unit describes the skills and knowledge required to prepare inks and additiv</w:t>
      </w:r>
      <w:r w:rsidRPr="00402839">
        <w:t>es in a range of printing processes.</w:t>
      </w:r>
    </w:p>
    <w:p w:rsidR="00000000" w:rsidRPr="00402839" w:rsidP="00495371">
      <w:pPr>
        <w:pStyle w:val="BodyText"/>
      </w:pPr>
      <w:r w:rsidRPr="00402839">
        <w:t>It applies to individuals who perform a range of mainly routine tasks in various sectors of the printing and graphic arts industry, using limited practical skills and fundamental knowledge in a defined context. They gen</w:t>
      </w:r>
      <w:r w:rsidRPr="00402839">
        <w:t>erally work under direct supervision.</w:t>
      </w:r>
    </w:p>
    <w:p w:rsidR="00000000" w:rsidRPr="00402839" w:rsidP="00495371">
      <w:pPr>
        <w:pStyle w:val="BodyText"/>
      </w:pPr>
      <w:r w:rsidRPr="00402839">
        <w:t>No licensing, legislative or certification requirements apply to this unit at the time of publication.</w:t>
      </w:r>
    </w:p>
    <w:p w:rsidR="00000000" w:rsidRPr="00402839" w:rsidP="00402839">
      <w:pPr>
        <w:pStyle w:val="Heading1"/>
      </w:pPr>
      <w:bookmarkStart w:id="3" w:name="O_1069930"/>
      <w:bookmarkEnd w:id="3"/>
      <w:r w:rsidRPr="00402839">
        <w:t>Unit Sector</w:t>
      </w:r>
    </w:p>
    <w:p w:rsidR="00000000" w:rsidRPr="00402839" w:rsidP="00495371">
      <w:pPr>
        <w:pStyle w:val="BodyText"/>
      </w:pPr>
      <w:r w:rsidRPr="00402839">
        <w:t>Support</w:t>
      </w:r>
    </w:p>
    <w:p w:rsidR="00000000" w:rsidRPr="00402839" w:rsidP="00402839">
      <w:pPr>
        <w:pStyle w:val="Heading1"/>
      </w:pPr>
      <w:bookmarkStart w:id="4" w:name="O_1069929"/>
      <w:bookmarkEnd w:id="4"/>
      <w:r w:rsidRPr="004028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402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BodyText"/>
            </w:pPr>
            <w:r w:rsidRPr="0040283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rPr>
                <w:rStyle w:val="SpecialBold"/>
              </w:rPr>
              <w:t>PERFORMANCE CRI</w:t>
            </w:r>
            <w:r w:rsidRPr="00402839">
              <w:rPr>
                <w:rStyle w:val="SpecialBold"/>
              </w:rPr>
              <w:t>TERIA</w:t>
            </w:r>
          </w:p>
        </w:tc>
      </w:tr>
      <w:tr w:rsidTr="00402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BodyText"/>
            </w:pPr>
            <w:r w:rsidRPr="0040283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2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List"/>
              <w:rPr>
                <w:lang w:val="en-NZ"/>
              </w:rPr>
            </w:pPr>
            <w:r w:rsidRPr="00402839">
              <w:t>1. Select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List"/>
            </w:pPr>
            <w:r w:rsidRPr="00402839">
              <w:t>1.1. Identify client requirements and job specifications, including equ</w:t>
            </w:r>
            <w:r w:rsidRPr="00402839">
              <w:t>ipment and materials, according to enterprise procedures</w:t>
            </w:r>
          </w:p>
          <w:p w:rsidR="00000000" w:rsidRPr="00402839" w:rsidP="00402839">
            <w:pPr>
              <w:pStyle w:val="List"/>
            </w:pPr>
            <w:r w:rsidRPr="00402839">
              <w:t>1.2 Select inks, dyes and additives</w:t>
            </w:r>
          </w:p>
          <w:p w:rsidR="00000000" w:rsidRPr="00402839" w:rsidP="00402839">
            <w:pPr>
              <w:pStyle w:val="List"/>
            </w:pPr>
            <w:r w:rsidRPr="00402839">
              <w:t>1.3 Check suitability of inks, dyes and additives selected and take required action to meet client, enterprise and industry quality standards</w:t>
            </w:r>
          </w:p>
          <w:p w:rsidR="00000000" w:rsidP="00402839">
            <w:pPr>
              <w:pStyle w:val="List"/>
              <w:rPr>
                <w:lang w:val="en-NZ"/>
              </w:rPr>
            </w:pPr>
            <w:r w:rsidRPr="00402839">
              <w:t xml:space="preserve">1.4 Confirm inks and </w:t>
            </w:r>
            <w:r w:rsidRPr="00402839">
              <w:t>dyes meet substrate requirements</w:t>
            </w:r>
          </w:p>
        </w:tc>
      </w:tr>
      <w:tr w:rsidTr="00402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List"/>
              <w:rPr>
                <w:lang w:val="en-NZ"/>
              </w:rPr>
            </w:pPr>
            <w:r w:rsidRPr="00402839">
              <w:t>2. Prepare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List"/>
            </w:pPr>
            <w:r w:rsidRPr="00402839">
              <w:t>2.1 Prepare inks, dyes and additives as required and according to manufacturer instructions and safety and regulatory requirements</w:t>
            </w:r>
          </w:p>
          <w:p w:rsidR="00000000" w:rsidRPr="00402839" w:rsidP="00402839">
            <w:pPr>
              <w:pStyle w:val="List"/>
            </w:pPr>
            <w:r w:rsidRPr="00402839">
              <w:t xml:space="preserve">2.2 Mix required colour and volume of ink and match to job </w:t>
            </w:r>
            <w:r w:rsidRPr="00402839">
              <w:t>specifications and equipment</w:t>
            </w:r>
          </w:p>
          <w:p w:rsidR="00000000" w:rsidP="00402839">
            <w:pPr>
              <w:pStyle w:val="List"/>
              <w:rPr>
                <w:lang w:val="en-NZ"/>
              </w:rPr>
            </w:pPr>
            <w:r w:rsidRPr="00402839">
              <w:t>2.3 Record formulation of ink and approved colour</w:t>
            </w:r>
          </w:p>
        </w:tc>
      </w:tr>
      <w:tr w:rsidTr="00402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List"/>
              <w:rPr>
                <w:lang w:val="en-NZ"/>
              </w:rPr>
            </w:pPr>
            <w:r w:rsidRPr="00402839">
              <w:t>3. Store and handle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List"/>
            </w:pPr>
            <w:r w:rsidRPr="00402839">
              <w:t>3.1 Store, handle and label inks, dyes and additives according to manufacturer instructions</w:t>
            </w:r>
          </w:p>
          <w:p w:rsidR="00000000" w:rsidRPr="00402839" w:rsidP="00402839">
            <w:pPr>
              <w:pStyle w:val="List"/>
            </w:pPr>
            <w:r w:rsidRPr="00402839">
              <w:t>3</w:t>
            </w:r>
            <w:r w:rsidRPr="00402839">
              <w:t xml:space="preserve">.2 Prepare inks, dyes and additives for re-use in future tasks </w:t>
            </w:r>
          </w:p>
        </w:tc>
      </w:tr>
    </w:tbl>
    <w:p w:rsidR="00495371" w:rsidP="00402839">
      <w:pPr>
        <w:pStyle w:val="List2"/>
      </w:pPr>
    </w:p>
    <w:p w:rsidR="00495371" w:rsidP="00402839">
      <w:pPr>
        <w:pStyle w:val="List2"/>
      </w:pPr>
    </w:p>
    <w:p w:rsidR="00000000" w:rsidRPr="00402839" w:rsidP="00402839">
      <w:pPr>
        <w:pStyle w:val="Heading1"/>
      </w:pPr>
      <w:bookmarkStart w:id="5" w:name="O_1069928"/>
      <w:bookmarkEnd w:id="5"/>
      <w:r w:rsidRPr="00402839">
        <w:t>Foundation Skills</w:t>
      </w:r>
    </w:p>
    <w:p w:rsidR="00000000" w:rsidRPr="00495371" w:rsidP="00495371">
      <w:pPr>
        <w:pStyle w:val="BodyText"/>
        <w:rPr>
          <w:i/>
        </w:rPr>
      </w:pPr>
      <w:r w:rsidRPr="00495371">
        <w:rPr>
          <w:rStyle w:val="Emphasis"/>
        </w:rPr>
        <w:t>This section describes those language, literacy, numeracy and employment skills that are essential to performance but not explicit in the performance cr</w:t>
      </w:r>
      <w:r w:rsidRPr="00495371">
        <w:rPr>
          <w:rStyle w:val="Emphasis"/>
        </w:rPr>
        <w:t>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40283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BodyText"/>
            </w:pPr>
            <w:r w:rsidRPr="00402839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rPr>
                <w:rStyle w:val="SpecialBold"/>
              </w:rPr>
              <w:t>Description</w:t>
            </w:r>
          </w:p>
        </w:tc>
      </w:tr>
      <w:tr w:rsidTr="0040283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ListBullet"/>
              <w:rPr>
                <w:lang w:val="en-NZ"/>
              </w:rPr>
            </w:pPr>
            <w:r w:rsidRPr="00402839">
              <w:t>Identifies text within job specifications and follows written instructions</w:t>
            </w:r>
          </w:p>
        </w:tc>
      </w:tr>
      <w:tr w:rsidTr="0040283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ListBullet"/>
              <w:rPr>
                <w:lang w:val="en-NZ"/>
              </w:rPr>
            </w:pPr>
            <w:r w:rsidRPr="00402839">
              <w:t>Records key information related to outcomes of the job</w:t>
            </w:r>
          </w:p>
        </w:tc>
      </w:tr>
      <w:tr w:rsidTr="0040283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ListBullet"/>
              <w:rPr>
                <w:lang w:val="en-NZ"/>
              </w:rPr>
            </w:pPr>
            <w:r w:rsidRPr="00402839">
              <w:t>Uses simple mathematical techniques to determine weights and volume required</w:t>
            </w:r>
          </w:p>
        </w:tc>
      </w:tr>
      <w:tr w:rsidTr="0040283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ListBullet"/>
            </w:pPr>
            <w:r w:rsidRPr="00402839">
              <w:t>Takes personal responsibility for adherence to regulatory requirements within industry standards and enterprise procedures</w:t>
            </w:r>
          </w:p>
          <w:p w:rsidR="00000000" w:rsidP="00402839">
            <w:pPr>
              <w:pStyle w:val="ListBullet"/>
              <w:rPr>
                <w:lang w:val="en-NZ"/>
              </w:rPr>
            </w:pPr>
            <w:r w:rsidRPr="00402839">
              <w:t>Takes responsibility for, identifies a</w:t>
            </w:r>
            <w:r w:rsidRPr="00402839">
              <w:t>nd responds to routine low-impact decisions within the immediate work context</w:t>
            </w:r>
          </w:p>
        </w:tc>
      </w:tr>
      <w:tr w:rsidTr="0040283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ListBullet"/>
            </w:pPr>
            <w:r w:rsidRPr="00402839">
              <w:t xml:space="preserve">Determines priorities and sequences steps involved in clearly defined, familiar tasks, and identifies </w:t>
            </w:r>
            <w:r w:rsidRPr="00402839">
              <w:t>and assembles required resources with some assistance</w:t>
            </w:r>
          </w:p>
        </w:tc>
      </w:tr>
    </w:tbl>
    <w:p w:rsidR="00000000" w:rsidRPr="00402839" w:rsidP="00402839">
      <w:pPr>
        <w:pStyle w:val="BodyText"/>
      </w:pPr>
    </w:p>
    <w:p w:rsidR="00000000" w:rsidRPr="00402839" w:rsidP="00402839">
      <w:pPr>
        <w:pStyle w:val="AllowPageBreak"/>
      </w:pPr>
    </w:p>
    <w:p w:rsidR="00000000" w:rsidRPr="00402839" w:rsidP="00402839">
      <w:pPr>
        <w:pStyle w:val="Heading1"/>
      </w:pPr>
      <w:bookmarkStart w:id="6" w:name="O_1069927"/>
      <w:bookmarkEnd w:id="6"/>
      <w:r w:rsidRPr="00402839">
        <w:t>Unit Mapping Information</w:t>
      </w:r>
    </w:p>
    <w:p w:rsidR="00000000" w:rsidRPr="00402839" w:rsidP="00495371">
      <w:pPr>
        <w:pStyle w:val="BodyText"/>
      </w:pPr>
      <w:r w:rsidRPr="00402839">
        <w:t>Supersedes and is equivalent to ICPSUP211 Prepare ink and additives.</w:t>
      </w:r>
    </w:p>
    <w:p w:rsidR="00000000" w:rsidRPr="00402839" w:rsidP="00402839">
      <w:pPr>
        <w:pStyle w:val="Heading1"/>
      </w:pPr>
      <w:bookmarkStart w:id="7" w:name="O_1069920"/>
      <w:bookmarkEnd w:id="7"/>
      <w:r w:rsidRPr="00402839">
        <w:t>Links</w:t>
      </w:r>
    </w:p>
    <w:p w:rsidR="00000000" w:rsidRPr="00402839" w:rsidP="00495371">
      <w:pPr>
        <w:pStyle w:val="BodyText"/>
      </w:pPr>
      <w:r w:rsidRPr="004028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96A6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02839" w:rsidP="00495371">
      <w:pPr>
        <w:pStyle w:val="BodyText"/>
        <w:sectPr w:rsidSect="004028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2839" w:rsidP="00402839">
      <w:pPr>
        <w:pStyle w:val="SuperHeading"/>
      </w:pPr>
      <w:r w:rsidRPr="00402839">
        <w:t>Assessment Requirements for ICPSUP2110 Prepare inks and additives</w:t>
      </w:r>
    </w:p>
    <w:p w:rsidR="00000000" w:rsidRPr="00402839" w:rsidP="00402839">
      <w:pPr>
        <w:pStyle w:val="Heading1"/>
      </w:pPr>
      <w:bookmarkStart w:id="8" w:name="O_1069922"/>
      <w:bookmarkEnd w:id="8"/>
      <w:r w:rsidRPr="004028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02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BodyText"/>
            </w:pPr>
            <w:r w:rsidRPr="004028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rPr>
                <w:rStyle w:val="SpecialBold"/>
              </w:rPr>
              <w:t>Comments</w:t>
            </w:r>
          </w:p>
        </w:tc>
      </w:tr>
      <w:tr w:rsidTr="00402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39">
            <w:pPr>
              <w:pStyle w:val="BodyText"/>
              <w:rPr>
                <w:lang w:val="en-NZ"/>
              </w:rPr>
            </w:pPr>
            <w:r w:rsidRPr="004028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39" w:rsidP="00402839">
            <w:pPr>
              <w:pStyle w:val="BodyText"/>
            </w:pPr>
            <w:r w:rsidRPr="00402839">
              <w:t>This version first released with ICP Printing and Graphic Arts Training Package Version 4.0.</w:t>
            </w:r>
          </w:p>
        </w:tc>
      </w:tr>
    </w:tbl>
    <w:p w:rsidR="00000000" w:rsidRPr="00402839" w:rsidP="00402839">
      <w:pPr>
        <w:pStyle w:val="BodyText"/>
      </w:pPr>
    </w:p>
    <w:p w:rsidR="00000000" w:rsidRPr="00402839" w:rsidP="00402839">
      <w:pPr>
        <w:pStyle w:val="AllowPageBreak"/>
      </w:pPr>
    </w:p>
    <w:p w:rsidR="00000000" w:rsidRPr="00402839" w:rsidP="00402839">
      <w:pPr>
        <w:pStyle w:val="Heading1"/>
      </w:pPr>
      <w:bookmarkStart w:id="9" w:name="O_1069925"/>
      <w:bookmarkEnd w:id="9"/>
      <w:r w:rsidRPr="00402839">
        <w:t>Performance Evidence</w:t>
      </w:r>
    </w:p>
    <w:p w:rsidR="00000000" w:rsidRPr="00402839" w:rsidP="00495371">
      <w:pPr>
        <w:pStyle w:val="BodyText"/>
      </w:pPr>
      <w:r w:rsidRPr="00402839">
        <w:t>The candidate must demonstrate the ability to complete the tasks outlined in the elements, performance criteria and foundation skills of the unit, including evidence of the ability to:</w:t>
      </w:r>
    </w:p>
    <w:p w:rsidR="00000000" w:rsidRPr="00402839" w:rsidP="00402839">
      <w:pPr>
        <w:pStyle w:val="ListBullet"/>
      </w:pPr>
      <w:r w:rsidRPr="00402839">
        <w:t>prepare at least two batches of inks and additives to match a colour s</w:t>
      </w:r>
      <w:r w:rsidRPr="00402839">
        <w:t>ample and specified end-use requirements.</w:t>
      </w:r>
    </w:p>
    <w:p w:rsidR="00000000" w:rsidRPr="00402839" w:rsidP="00402839">
      <w:pPr>
        <w:pStyle w:val="BodyText"/>
      </w:pPr>
    </w:p>
    <w:p w:rsidR="00000000" w:rsidRPr="00402839" w:rsidP="00495371">
      <w:pPr>
        <w:pStyle w:val="BodyText"/>
      </w:pPr>
      <w:r w:rsidRPr="00402839">
        <w:t>In the course of the above, the candidate must mix volumes of ink to obtain a required colour and quantity.</w:t>
      </w:r>
    </w:p>
    <w:p w:rsidR="00000000" w:rsidRPr="00402839" w:rsidP="00402839">
      <w:pPr>
        <w:pStyle w:val="Heading1"/>
      </w:pPr>
      <w:bookmarkStart w:id="10" w:name="O_1069924"/>
      <w:bookmarkEnd w:id="10"/>
      <w:r w:rsidRPr="00402839">
        <w:t>Knowledge Evidence</w:t>
      </w:r>
    </w:p>
    <w:p w:rsidR="00000000" w:rsidRPr="00402839" w:rsidP="00495371">
      <w:pPr>
        <w:pStyle w:val="BodyText"/>
      </w:pPr>
      <w:r w:rsidRPr="00402839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402839" w:rsidP="00402839">
      <w:pPr>
        <w:pStyle w:val="ListBullet"/>
      </w:pPr>
      <w:r w:rsidRPr="00402839">
        <w:t>workplace health and safety (WHS) requirements related to handling, prepa</w:t>
      </w:r>
      <w:r w:rsidRPr="00402839">
        <w:t>ring and matching inks and additives</w:t>
      </w:r>
    </w:p>
    <w:p w:rsidR="00000000" w:rsidRPr="00402839" w:rsidP="00402839">
      <w:pPr>
        <w:pStyle w:val="ListBullet"/>
      </w:pPr>
      <w:r w:rsidRPr="00402839">
        <w:t xml:space="preserve">selection criteria for inks and additives </w:t>
      </w:r>
    </w:p>
    <w:p w:rsidR="00000000" w:rsidRPr="00402839" w:rsidP="00402839">
      <w:pPr>
        <w:pStyle w:val="ListBullet"/>
      </w:pPr>
      <w:r w:rsidRPr="00402839">
        <w:t>characteristics of inks including requirements for different substrates</w:t>
      </w:r>
    </w:p>
    <w:p w:rsidR="00000000" w:rsidRPr="00402839" w:rsidP="00402839">
      <w:pPr>
        <w:pStyle w:val="ListBullet"/>
      </w:pPr>
      <w:r w:rsidRPr="00402839">
        <w:t>physical, chemical, and light and colour fastness of ink</w:t>
      </w:r>
    </w:p>
    <w:p w:rsidR="00000000" w:rsidRPr="00402839" w:rsidP="00402839">
      <w:pPr>
        <w:pStyle w:val="ListBullet"/>
      </w:pPr>
      <w:r w:rsidRPr="00402839">
        <w:t>process for determining volume of ink required</w:t>
      </w:r>
    </w:p>
    <w:p w:rsidR="00000000" w:rsidRPr="00402839" w:rsidP="00402839">
      <w:pPr>
        <w:pStyle w:val="ListBullet"/>
      </w:pPr>
      <w:r w:rsidRPr="00402839">
        <w:t>methods to check and adjust ink colour and consistency</w:t>
      </w:r>
    </w:p>
    <w:p w:rsidR="00000000" w:rsidRPr="00402839" w:rsidP="00402839">
      <w:pPr>
        <w:pStyle w:val="ListBullet"/>
      </w:pPr>
      <w:r w:rsidRPr="00402839">
        <w:t>ink and additive quality assurance procedures</w:t>
      </w:r>
    </w:p>
    <w:p w:rsidR="00000000" w:rsidRPr="00402839" w:rsidP="00402839">
      <w:pPr>
        <w:pStyle w:val="ListBullet"/>
      </w:pPr>
      <w:r w:rsidRPr="00402839">
        <w:t>effect of lighting conditions on colour matching</w:t>
      </w:r>
    </w:p>
    <w:p w:rsidR="00000000" w:rsidRPr="00402839" w:rsidP="00402839">
      <w:pPr>
        <w:pStyle w:val="ListBullet"/>
      </w:pPr>
      <w:r w:rsidRPr="00402839">
        <w:t>criteria for determining compatibility of the ink being mixed</w:t>
      </w:r>
    </w:p>
    <w:p w:rsidR="00000000" w:rsidRPr="00402839" w:rsidP="00402839">
      <w:pPr>
        <w:pStyle w:val="ListBullet"/>
      </w:pPr>
      <w:r w:rsidRPr="00402839">
        <w:t>ink drying methods in the printing process</w:t>
      </w:r>
    </w:p>
    <w:p w:rsidR="00000000" w:rsidRPr="00402839" w:rsidP="00402839">
      <w:pPr>
        <w:pStyle w:val="ListBullet"/>
      </w:pPr>
      <w:r w:rsidRPr="00402839">
        <w:t>M</w:t>
      </w:r>
      <w:r w:rsidRPr="00402839">
        <w:t>aterial safety Data sheets (MSDS) for this ink system</w:t>
      </w:r>
    </w:p>
    <w:p w:rsidR="00000000" w:rsidRPr="00402839" w:rsidP="00402839">
      <w:pPr>
        <w:pStyle w:val="ListBullet"/>
      </w:pPr>
      <w:r w:rsidRPr="00402839">
        <w:t>environmental conditions affecting the storage of inks and additives</w:t>
      </w:r>
    </w:p>
    <w:p w:rsidR="00000000" w:rsidRPr="00402839" w:rsidP="00402839">
      <w:pPr>
        <w:pStyle w:val="ListBullet"/>
      </w:pPr>
      <w:r w:rsidRPr="00402839">
        <w:t>labelling conventions for mixed inks</w:t>
      </w:r>
    </w:p>
    <w:p w:rsidR="00000000" w:rsidRPr="00402839" w:rsidP="00402839">
      <w:pPr>
        <w:pStyle w:val="ListBullet"/>
      </w:pPr>
      <w:r w:rsidRPr="00402839">
        <w:t>disposal procedures for inks, solvent and solvent rags</w:t>
      </w:r>
    </w:p>
    <w:p w:rsidR="00000000" w:rsidRPr="00402839" w:rsidP="00402839">
      <w:pPr>
        <w:pStyle w:val="ListBullet"/>
      </w:pPr>
      <w:r w:rsidRPr="00402839">
        <w:t>regulatory requirements regarding inks</w:t>
      </w:r>
    </w:p>
    <w:p w:rsidR="00000000" w:rsidRPr="00402839" w:rsidP="00402839">
      <w:pPr>
        <w:pStyle w:val="ListBullet"/>
      </w:pPr>
      <w:r w:rsidRPr="00402839">
        <w:t>required manuals, enterprise procedures and safety and other documentation, including their location and purpose.</w:t>
      </w:r>
    </w:p>
    <w:p w:rsidR="00000000" w:rsidRPr="00402839" w:rsidP="00402839">
      <w:pPr>
        <w:pStyle w:val="AllowPageBreak"/>
      </w:pPr>
    </w:p>
    <w:p w:rsidR="00000000" w:rsidRPr="00402839" w:rsidP="00402839">
      <w:pPr>
        <w:pStyle w:val="Heading1"/>
      </w:pPr>
      <w:bookmarkStart w:id="11" w:name="O_1069923"/>
      <w:bookmarkEnd w:id="11"/>
      <w:r w:rsidRPr="00402839">
        <w:t>Assessment Conditions</w:t>
      </w:r>
    </w:p>
    <w:p w:rsidR="00000000" w:rsidRPr="00402839" w:rsidP="00495371">
      <w:pPr>
        <w:pStyle w:val="BodyText"/>
      </w:pPr>
      <w:r w:rsidRPr="00402839">
        <w:t>Skills in this unit must be demonstrated in a workplace or simulated environment where the conditions</w:t>
      </w:r>
      <w:r w:rsidRPr="00402839">
        <w:t xml:space="preserve"> are typical of those in a working environment in this industry. Noise levels, production flow, interruptions and time variances must be typical of those experienced in the area of work.</w:t>
      </w:r>
    </w:p>
    <w:p w:rsidR="00000000" w:rsidRPr="00402839" w:rsidP="00495371">
      <w:pPr>
        <w:pStyle w:val="BodyText"/>
      </w:pPr>
      <w:r w:rsidRPr="00402839">
        <w:t>This includes access to:</w:t>
      </w:r>
    </w:p>
    <w:p w:rsidR="00000000" w:rsidRPr="00402839" w:rsidP="00402839">
      <w:pPr>
        <w:pStyle w:val="ListBullet"/>
      </w:pPr>
      <w:r w:rsidRPr="00402839">
        <w:t>inks and additives</w:t>
      </w:r>
    </w:p>
    <w:p w:rsidR="00000000" w:rsidRPr="00402839" w:rsidP="00402839">
      <w:pPr>
        <w:pStyle w:val="ListBullet"/>
      </w:pPr>
      <w:r w:rsidRPr="00402839">
        <w:t>printing equipment.</w:t>
      </w:r>
    </w:p>
    <w:p w:rsidR="00000000" w:rsidRPr="00402839" w:rsidP="00402839">
      <w:pPr>
        <w:pStyle w:val="BodyText"/>
      </w:pPr>
    </w:p>
    <w:p w:rsidR="00495371" w:rsidP="00495371">
      <w:pPr>
        <w:pStyle w:val="BodyText"/>
      </w:pPr>
      <w:r w:rsidRPr="00402839">
        <w:t>Ass</w:t>
      </w:r>
      <w:r w:rsidRPr="00402839">
        <w:t>essors of this unit must satisfy the requirements for assessors in applicable vocational education and training legislation, frameworks and/or standards.</w:t>
      </w:r>
    </w:p>
    <w:p w:rsidR="00000000" w:rsidRPr="00402839" w:rsidP="00402839">
      <w:pPr>
        <w:pStyle w:val="Heading1"/>
      </w:pPr>
      <w:bookmarkStart w:id="12" w:name="O_1069921"/>
      <w:bookmarkEnd w:id="12"/>
      <w:r w:rsidRPr="00402839">
        <w:t>Links</w:t>
      </w:r>
    </w:p>
    <w:p w:rsidR="00000000" w:rsidRPr="00402839" w:rsidP="00495371">
      <w:pPr>
        <w:pStyle w:val="BodyText"/>
      </w:pPr>
      <w:r w:rsidRPr="004028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96A6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02839" w:rsidP="00402839"/>
    <w:sectPr w:rsidSect="004028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39" w:rsidRPr="00495371" w:rsidP="00495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371" w:rsidP="00402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371" w:rsidP="00402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5371" w:rsidP="004028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39" w:rsidP="00402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5371">
      <w:t>Approved</w:t>
    </w:r>
    <w:r w:rsidR="004953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53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5371">
      <w:rPr>
        <w:noProof/>
      </w:rPr>
      <w:t>4</w:t>
    </w:r>
    <w:r>
      <w:rPr>
        <w:noProof/>
      </w:rPr>
      <w:fldChar w:fldCharType="end"/>
    </w:r>
  </w:p>
  <w:p w:rsidR="00402839" w:rsidP="00402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53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5371">
      <w:t>Manufacturing Industry Skills Alliance</w:t>
    </w:r>
    <w:r w:rsidR="00495371">
      <w:fldChar w:fldCharType="end"/>
    </w:r>
  </w:p>
  <w:p w:rsidR="00402839" w:rsidP="00402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839" w:rsidRPr="00495371" w:rsidP="00495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371" w:rsidRPr="002D2AF8" w:rsidP="00402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ICPSUP2110 Prepare inks and additives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95371" w:rsidP="004028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39" w:rsidRPr="002D2AF8" w:rsidP="00402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5371">
      <w:t>ICPSUP2110 Prepare inks and additives</w:t>
    </w:r>
    <w:r w:rsidR="004953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5371">
      <w:rPr>
        <w:noProof/>
      </w:rPr>
      <w:t>1 March 2025</w:t>
    </w:r>
    <w:r>
      <w:fldChar w:fldCharType="end"/>
    </w:r>
  </w:p>
  <w:p w:rsidR="00402839" w:rsidP="00402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C6C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D43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839"/>
  </w:style>
  <w:style w:type="character" w:customStyle="1" w:styleId="Heading1Char">
    <w:name w:val="Heading 1 Char"/>
    <w:basedOn w:val="DefaultParagraphFont"/>
    <w:link w:val="Heading1"/>
    <w:rsid w:val="00402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8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28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28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839"/>
    <w:rPr>
      <w:b/>
      <w:spacing w:val="0"/>
    </w:rPr>
  </w:style>
  <w:style w:type="character" w:styleId="Emphasis">
    <w:name w:val="Emphasis"/>
    <w:basedOn w:val="DefaultParagraphFont"/>
    <w:qFormat/>
    <w:rsid w:val="00402839"/>
    <w:rPr>
      <w:i/>
    </w:rPr>
  </w:style>
  <w:style w:type="paragraph" w:customStyle="1" w:styleId="SuperHeading">
    <w:name w:val="SuperHeading"/>
    <w:basedOn w:val="Normal"/>
    <w:rsid w:val="00402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0283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02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8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2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28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2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8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2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839"/>
  </w:style>
  <w:style w:type="paragraph" w:styleId="TableofFigures">
    <w:name w:val="table of figures"/>
    <w:basedOn w:val="Normal"/>
    <w:next w:val="Normal"/>
    <w:semiHidden/>
    <w:rsid w:val="00402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8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2839"/>
    <w:rPr>
      <w:rFonts w:ascii="Wingdings" w:hAnsi="Wingdings"/>
    </w:rPr>
  </w:style>
  <w:style w:type="paragraph" w:customStyle="1" w:styleId="TableHeading">
    <w:name w:val="Table Heading"/>
    <w:basedOn w:val="HeadingBase"/>
    <w:rsid w:val="00402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839"/>
    <w:rPr>
      <w:color w:val="0033CC"/>
      <w:u w:val="none"/>
    </w:rPr>
  </w:style>
  <w:style w:type="paragraph" w:customStyle="1" w:styleId="BodyTextRight">
    <w:name w:val="Body Text Right"/>
    <w:basedOn w:val="BodyText"/>
    <w:rsid w:val="00402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8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839"/>
    <w:rPr>
      <w:sz w:val="32"/>
    </w:rPr>
  </w:style>
  <w:style w:type="paragraph" w:customStyle="1" w:styleId="HeadingProcedure">
    <w:name w:val="Heading Procedure"/>
    <w:basedOn w:val="HeadingBase"/>
    <w:next w:val="Normal"/>
    <w:rsid w:val="00402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839"/>
    <w:pPr>
      <w:spacing w:before="60" w:after="60"/>
    </w:pPr>
  </w:style>
  <w:style w:type="paragraph" w:styleId="ListContinue">
    <w:name w:val="List Continue"/>
    <w:basedOn w:val="List"/>
    <w:rsid w:val="00402839"/>
    <w:pPr>
      <w:ind w:firstLine="0"/>
    </w:pPr>
  </w:style>
  <w:style w:type="paragraph" w:customStyle="1" w:styleId="ListNote">
    <w:name w:val="List Note"/>
    <w:basedOn w:val="List"/>
    <w:rsid w:val="00402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839"/>
    <w:rPr>
      <w:rFonts w:ascii="Courier New" w:hAnsi="Courier New"/>
    </w:rPr>
  </w:style>
  <w:style w:type="paragraph" w:customStyle="1" w:styleId="NoteBullet">
    <w:name w:val="Note Bullet"/>
    <w:basedOn w:val="Note"/>
    <w:rsid w:val="00402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8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2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839"/>
    <w:rPr>
      <w:b/>
      <w:smallCaps/>
    </w:rPr>
  </w:style>
  <w:style w:type="paragraph" w:customStyle="1" w:styleId="TableListNumber">
    <w:name w:val="Table List Number"/>
    <w:basedOn w:val="ListNumber"/>
    <w:rsid w:val="00402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839"/>
    <w:pPr>
      <w:numPr>
        <w:numId w:val="8"/>
      </w:numPr>
    </w:pPr>
  </w:style>
  <w:style w:type="paragraph" w:customStyle="1" w:styleId="ListAlpha2">
    <w:name w:val="List Alpha 2"/>
    <w:basedOn w:val="List2"/>
    <w:rsid w:val="00402839"/>
    <w:pPr>
      <w:numPr>
        <w:numId w:val="7"/>
      </w:numPr>
    </w:pPr>
  </w:style>
  <w:style w:type="paragraph" w:styleId="List3">
    <w:name w:val="List 3"/>
    <w:basedOn w:val="BodyText"/>
    <w:rsid w:val="00402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8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8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2839"/>
    <w:pPr>
      <w:numPr>
        <w:numId w:val="3"/>
      </w:numPr>
    </w:pPr>
  </w:style>
  <w:style w:type="paragraph" w:styleId="ListContinue2">
    <w:name w:val="List Continue 2"/>
    <w:basedOn w:val="List2"/>
    <w:rsid w:val="00402839"/>
    <w:pPr>
      <w:ind w:firstLine="0"/>
    </w:pPr>
  </w:style>
  <w:style w:type="paragraph" w:styleId="ListContinue3">
    <w:name w:val="List Continue 3"/>
    <w:basedOn w:val="List3"/>
    <w:rsid w:val="00402839"/>
    <w:pPr>
      <w:ind w:left="1021" w:firstLine="0"/>
    </w:pPr>
  </w:style>
  <w:style w:type="paragraph" w:styleId="ListContinue4">
    <w:name w:val="List Continue 4"/>
    <w:basedOn w:val="List4"/>
    <w:rsid w:val="00402839"/>
    <w:pPr>
      <w:ind w:firstLine="0"/>
    </w:pPr>
  </w:style>
  <w:style w:type="paragraph" w:styleId="ListContinue5">
    <w:name w:val="List Continue 5"/>
    <w:basedOn w:val="List5"/>
    <w:rsid w:val="00402839"/>
    <w:pPr>
      <w:ind w:firstLine="0"/>
    </w:pPr>
  </w:style>
  <w:style w:type="paragraph" w:styleId="ListNumber3">
    <w:name w:val="List Number 3"/>
    <w:basedOn w:val="List3"/>
    <w:rsid w:val="00402839"/>
    <w:pPr>
      <w:numPr>
        <w:numId w:val="4"/>
      </w:numPr>
    </w:pPr>
  </w:style>
  <w:style w:type="paragraph" w:styleId="ListNumber4">
    <w:name w:val="List Number 4"/>
    <w:basedOn w:val="List4"/>
    <w:rsid w:val="00402839"/>
    <w:pPr>
      <w:numPr>
        <w:numId w:val="5"/>
      </w:numPr>
    </w:pPr>
  </w:style>
  <w:style w:type="paragraph" w:styleId="ListNumber5">
    <w:name w:val="List Number 5"/>
    <w:basedOn w:val="List5"/>
    <w:rsid w:val="00402839"/>
    <w:pPr>
      <w:numPr>
        <w:numId w:val="6"/>
      </w:numPr>
    </w:pPr>
  </w:style>
  <w:style w:type="paragraph" w:styleId="BlockText">
    <w:name w:val="Block Text"/>
    <w:basedOn w:val="Normal"/>
    <w:rsid w:val="00402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839"/>
    <w:rPr>
      <w:sz w:val="16"/>
      <w:vertAlign w:val="superscript"/>
    </w:rPr>
  </w:style>
  <w:style w:type="character" w:customStyle="1" w:styleId="Symbols">
    <w:name w:val="Symbols"/>
    <w:basedOn w:val="DefaultParagraphFont"/>
    <w:rsid w:val="00402839"/>
    <w:rPr>
      <w:rFonts w:ascii="Symbol" w:hAnsi="Symbol"/>
    </w:rPr>
  </w:style>
  <w:style w:type="character" w:customStyle="1" w:styleId="MenuOptions">
    <w:name w:val="Menu Options"/>
    <w:basedOn w:val="DefaultParagraphFont"/>
    <w:rsid w:val="00402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839"/>
    <w:rPr>
      <w:b/>
    </w:rPr>
  </w:style>
  <w:style w:type="character" w:customStyle="1" w:styleId="Underlined">
    <w:name w:val="Underlined"/>
    <w:basedOn w:val="DefaultParagraphFont"/>
    <w:rsid w:val="00402839"/>
    <w:rPr>
      <w:u w:val="single"/>
    </w:rPr>
  </w:style>
  <w:style w:type="paragraph" w:customStyle="1" w:styleId="TableBodyTextRight">
    <w:name w:val="Table Body Text Right"/>
    <w:basedOn w:val="TableBodyText"/>
    <w:rsid w:val="00402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839"/>
    <w:rPr>
      <w:sz w:val="18"/>
    </w:rPr>
  </w:style>
  <w:style w:type="paragraph" w:customStyle="1" w:styleId="BodySmallRight">
    <w:name w:val="Body Small Right"/>
    <w:basedOn w:val="BodyTextRight"/>
    <w:rsid w:val="00402839"/>
    <w:rPr>
      <w:sz w:val="18"/>
      <w:szCs w:val="18"/>
    </w:rPr>
  </w:style>
  <w:style w:type="paragraph" w:customStyle="1" w:styleId="MarginEdition">
    <w:name w:val="Margin Edition"/>
    <w:basedOn w:val="MarginNote"/>
    <w:rsid w:val="00402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839"/>
    <w:rPr>
      <w:sz w:val="2"/>
      <w:szCs w:val="2"/>
    </w:rPr>
  </w:style>
  <w:style w:type="character" w:customStyle="1" w:styleId="Small">
    <w:name w:val="Small"/>
    <w:basedOn w:val="DefaultParagraphFont"/>
    <w:rsid w:val="00402839"/>
    <w:rPr>
      <w:sz w:val="16"/>
    </w:rPr>
  </w:style>
  <w:style w:type="paragraph" w:customStyle="1" w:styleId="WideTable">
    <w:name w:val="Wide Table"/>
    <w:basedOn w:val="Normal"/>
    <w:rsid w:val="00402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839"/>
  </w:style>
  <w:style w:type="paragraph" w:styleId="Quote">
    <w:name w:val="Quote"/>
    <w:basedOn w:val="Heading1"/>
    <w:link w:val="QuoteChar"/>
    <w:qFormat/>
    <w:rsid w:val="00402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839"/>
    <w:pPr>
      <w:pageBreakBefore/>
    </w:pPr>
  </w:style>
  <w:style w:type="paragraph" w:customStyle="1" w:styleId="Border">
    <w:name w:val="Border"/>
    <w:basedOn w:val="Normal"/>
    <w:qFormat/>
    <w:rsid w:val="00402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839"/>
    <w:rPr>
      <w:u w:val="single"/>
    </w:rPr>
  </w:style>
  <w:style w:type="character" w:customStyle="1" w:styleId="BoldandItalics">
    <w:name w:val="Bold and Italics"/>
    <w:qFormat/>
    <w:rsid w:val="00402839"/>
    <w:rPr>
      <w:b/>
      <w:i/>
      <w:u w:val="none"/>
    </w:rPr>
  </w:style>
  <w:style w:type="paragraph" w:styleId="BalloonText">
    <w:name w:val="Balloon Text"/>
    <w:basedOn w:val="Normal"/>
    <w:link w:val="BalloonTextChar"/>
    <w:rsid w:val="00402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839"/>
    <w:pPr>
      <w:spacing w:before="0" w:after="0"/>
    </w:pPr>
  </w:style>
  <w:style w:type="paragraph" w:customStyle="1" w:styleId="BodyTextBold">
    <w:name w:val="Body Text Bold"/>
    <w:basedOn w:val="BodyText"/>
    <w:qFormat/>
    <w:rsid w:val="00402839"/>
    <w:rPr>
      <w:b/>
    </w:rPr>
  </w:style>
  <w:style w:type="character" w:styleId="Hyperlink">
    <w:name w:val="Hyperlink"/>
    <w:basedOn w:val="DefaultParagraphFont"/>
    <w:uiPriority w:val="99"/>
    <w:unhideWhenUsed/>
    <w:rsid w:val="00495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4876</Characters>
  <Application>Microsoft Office Word</Application>
  <DocSecurity>0</DocSecurity>
  <Lines>152</Lines>
  <Paragraphs>104</Paragraphs>
  <ScaleCrop>false</ScaleCrop>
  <Company>Author-it Software Corporation Ltd.</Company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ICPSUP2110 Prepare inks and additives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