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4EE" w:rsidP="00D00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ICPSUP2080 Operate and monitor machines (basic)</w:t>
      </w:r>
      <w:r>
        <w:fldChar w:fldCharType="end"/>
      </w:r>
    </w:p>
    <w:p w:rsidR="00D004EE" w:rsidP="00D004EE">
      <w:pPr>
        <w:pStyle w:val="Version"/>
        <w:sectPr w:rsidSect="00B65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970" w:rsidP="00B65970">
      <w:pPr>
        <w:pStyle w:val="SuperHeading"/>
      </w:pPr>
      <w:r w:rsidRPr="00B65970">
        <w:t>ICPSUP2080 Operate and monitor machines (basic)</w:t>
      </w:r>
    </w:p>
    <w:p w:rsidR="00000000" w:rsidRPr="00B65970" w:rsidP="00B65970">
      <w:pPr>
        <w:pStyle w:val="Heading1"/>
      </w:pPr>
      <w:bookmarkStart w:id="1" w:name="O_1072141"/>
      <w:bookmarkEnd w:id="1"/>
      <w:r w:rsidRPr="00B659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65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rPr>
                <w:rStyle w:val="SpecialBold"/>
              </w:rPr>
              <w:t>Comments</w:t>
            </w:r>
          </w:p>
        </w:tc>
      </w:tr>
      <w:tr w:rsidTr="00B65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This version first released with ICP Printing and Graphic Arts Training Package Version 4.0.</w:t>
            </w:r>
          </w:p>
        </w:tc>
      </w:tr>
    </w:tbl>
    <w:p w:rsidR="00000000" w:rsidRPr="00B65970" w:rsidP="00B65970">
      <w:pPr>
        <w:pStyle w:val="BodyText"/>
      </w:pPr>
    </w:p>
    <w:p w:rsidR="00000000" w:rsidRPr="00B65970" w:rsidP="00B65970">
      <w:pPr>
        <w:pStyle w:val="AllowPageBreak"/>
      </w:pPr>
    </w:p>
    <w:p w:rsidR="00000000" w:rsidRPr="00B65970" w:rsidP="00B65970">
      <w:pPr>
        <w:pStyle w:val="Heading1"/>
      </w:pPr>
      <w:bookmarkStart w:id="2" w:name="O_1072147"/>
      <w:bookmarkEnd w:id="2"/>
      <w:r w:rsidRPr="00B65970">
        <w:t>Application</w:t>
      </w:r>
    </w:p>
    <w:p w:rsidR="00000000" w:rsidRPr="00B65970" w:rsidP="00D004EE">
      <w:pPr>
        <w:pStyle w:val="BodyText"/>
      </w:pPr>
      <w:r w:rsidRPr="00B65970">
        <w:t>This unit describes the skills and knowledge required to operate and mon</w:t>
      </w:r>
      <w:r w:rsidRPr="00B65970">
        <w:t>itor machines under supervision according to enterprise requirements.</w:t>
      </w:r>
    </w:p>
    <w:p w:rsidR="00000000" w:rsidRPr="00B65970" w:rsidP="00D004EE">
      <w:pPr>
        <w:pStyle w:val="BodyText"/>
      </w:pPr>
      <w:r w:rsidRPr="00B65970">
        <w:t xml:space="preserve">It applies to individuals working as machine-minders and off-siders assisting in the operation of a machine under direct supervision. </w:t>
      </w:r>
    </w:p>
    <w:p w:rsidR="00000000" w:rsidRPr="00B65970" w:rsidP="00D004EE">
      <w:pPr>
        <w:pStyle w:val="BodyText"/>
      </w:pPr>
      <w:r w:rsidRPr="00B65970">
        <w:t>No licensing, legislative or certification requirem</w:t>
      </w:r>
      <w:r w:rsidRPr="00B65970">
        <w:t>ents apply to this unit at the time of publication.</w:t>
      </w:r>
    </w:p>
    <w:p w:rsidR="00000000" w:rsidRPr="00B65970" w:rsidP="00B65970">
      <w:pPr>
        <w:pStyle w:val="Heading1"/>
      </w:pPr>
      <w:bookmarkStart w:id="3" w:name="O_1072146"/>
      <w:bookmarkEnd w:id="3"/>
      <w:r w:rsidRPr="00B65970">
        <w:t>Unit Sector</w:t>
      </w:r>
    </w:p>
    <w:p w:rsidR="00000000" w:rsidRPr="00B65970" w:rsidP="00D004EE">
      <w:pPr>
        <w:pStyle w:val="BodyText"/>
      </w:pPr>
      <w:r w:rsidRPr="00B65970">
        <w:t>Support</w:t>
      </w:r>
    </w:p>
    <w:p w:rsidR="00000000" w:rsidRPr="00B65970" w:rsidP="00B65970">
      <w:pPr>
        <w:pStyle w:val="Heading1"/>
      </w:pPr>
      <w:bookmarkStart w:id="4" w:name="O_1072145"/>
      <w:bookmarkEnd w:id="4"/>
      <w:r w:rsidRPr="00B659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659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65970" w:rsidP="00B65970">
            <w:pPr>
              <w:pStyle w:val="BodyText"/>
            </w:pPr>
            <w:r w:rsidRPr="00B6597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rPr>
                <w:rStyle w:val="SpecialBold"/>
              </w:rPr>
              <w:t>PERFORMANCE CRITERIA</w:t>
            </w:r>
          </w:p>
        </w:tc>
      </w:tr>
      <w:tr w:rsidTr="00B659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65970" w:rsidP="00B65970">
            <w:pPr>
              <w:pStyle w:val="BodyText"/>
            </w:pPr>
            <w:r w:rsidRPr="00B6597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9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1. Operate and monitor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1.1 Identify job specifications</w:t>
            </w:r>
          </w:p>
          <w:p w:rsidR="00000000" w:rsidRPr="00B65970" w:rsidP="00B65970">
            <w:pPr>
              <w:pStyle w:val="BodyText"/>
            </w:pPr>
            <w:r w:rsidRPr="00B65970">
              <w:t xml:space="preserve">1.2 Monitor and adjust delivery systems </w:t>
            </w:r>
          </w:p>
          <w:p w:rsidR="00000000" w:rsidRPr="00B65970" w:rsidP="00B65970">
            <w:pPr>
              <w:pStyle w:val="BodyText"/>
            </w:pPr>
            <w:r w:rsidRPr="00B65970">
              <w:t>1.3 Add substrate to and remove substrate fr</w:t>
            </w:r>
            <w:r w:rsidRPr="00B65970">
              <w:t>om process</w:t>
            </w:r>
          </w:p>
          <w:p w:rsidR="00000000" w:rsidRPr="00B65970" w:rsidP="00B65970">
            <w:pPr>
              <w:pStyle w:val="BodyText"/>
            </w:pPr>
            <w:r w:rsidRPr="00B65970">
              <w:t>1.4 Identify need for major adjustment and report to designated person according to enterprise operating procedures</w:t>
            </w:r>
          </w:p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1.5 Monitor product and make minor adjustments as required according to quality output requirements</w:t>
            </w:r>
          </w:p>
        </w:tc>
      </w:tr>
      <w:tr w:rsidTr="00B659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 xml:space="preserve">2. Identify and rectify problems and faults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2.1 Identify and report faulty performance of equipment according to enterprise procedures within defined work area</w:t>
            </w:r>
          </w:p>
          <w:p w:rsidR="00000000" w:rsidRPr="00B65970" w:rsidP="00B65970">
            <w:pPr>
              <w:pStyle w:val="BodyText"/>
            </w:pPr>
            <w:r w:rsidRPr="00B65970">
              <w:t xml:space="preserve">2.2 Identify machine faults requiring repair and report to </w:t>
            </w:r>
            <w:r w:rsidRPr="00B65970">
              <w:t>designated person according to enter</w:t>
            </w:r>
            <w:r w:rsidRPr="00B65970">
              <w:t>prise procedures</w:t>
            </w:r>
          </w:p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2.3 Verify repairs and adjustments as required prior to resumption of operations</w:t>
            </w:r>
          </w:p>
        </w:tc>
      </w:tr>
      <w:tr w:rsidTr="00B659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3.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3.1 Follow shutdown sequence according to manufacturer specifications and enterprise procedures</w:t>
            </w:r>
          </w:p>
          <w:p w:rsidR="00000000" w:rsidRPr="00B65970" w:rsidP="00B65970">
            <w:pPr>
              <w:pStyle w:val="BodyText"/>
            </w:pPr>
            <w:r w:rsidRPr="00B65970">
              <w:t>3.2 Store unused ma</w:t>
            </w:r>
            <w:r w:rsidRPr="00B65970">
              <w:t>terials according to manufacturer specifications and enterprise operating procedures</w:t>
            </w:r>
          </w:p>
          <w:p w:rsidR="00000000" w:rsidRPr="00B65970" w:rsidP="00B65970">
            <w:pPr>
              <w:pStyle w:val="BodyText"/>
            </w:pPr>
            <w:r w:rsidRPr="00B65970">
              <w:t xml:space="preserve">3.3 Remove and store used plates, cutting and other devices </w:t>
            </w:r>
          </w:p>
          <w:p w:rsidR="00000000" w:rsidRPr="00B65970" w:rsidP="00B65970">
            <w:pPr>
              <w:pStyle w:val="BodyText"/>
            </w:pPr>
            <w:r w:rsidRPr="00B65970">
              <w:t>3.4 Remove all product from operating area according to enterprise and work health and safety (WHS) requiremen</w:t>
            </w:r>
            <w:r w:rsidRPr="00B65970">
              <w:t>ts</w:t>
            </w:r>
          </w:p>
          <w:p w:rsidR="00000000" w:rsidRPr="00B65970" w:rsidP="00B65970">
            <w:pPr>
              <w:pStyle w:val="BodyText"/>
            </w:pPr>
            <w:r w:rsidRPr="00B65970">
              <w:t xml:space="preserve">3.5 Clean and disengage all required parts of machinery used in printing process according to manufacturer specifications and enterprise procedures </w:t>
            </w:r>
          </w:p>
        </w:tc>
      </w:tr>
    </w:tbl>
    <w:p w:rsidR="00000000" w:rsidRPr="00B65970" w:rsidP="00B65970">
      <w:pPr>
        <w:pStyle w:val="BodyText"/>
      </w:pPr>
    </w:p>
    <w:p w:rsidR="00000000" w:rsidRPr="00B65970" w:rsidP="00B65970">
      <w:pPr>
        <w:pStyle w:val="AllowPageBreak"/>
      </w:pPr>
    </w:p>
    <w:p w:rsidR="00000000" w:rsidRPr="00B65970" w:rsidP="00B65970">
      <w:pPr>
        <w:pStyle w:val="Heading1"/>
      </w:pPr>
      <w:bookmarkStart w:id="5" w:name="O_1072144"/>
      <w:bookmarkEnd w:id="5"/>
      <w:r w:rsidRPr="00B65970">
        <w:t>Foundation Skills</w:t>
      </w:r>
    </w:p>
    <w:p w:rsidR="00000000" w:rsidRPr="00D004EE" w:rsidP="00D004EE">
      <w:pPr>
        <w:pStyle w:val="BodyText"/>
        <w:rPr>
          <w:i/>
        </w:rPr>
      </w:pPr>
      <w:r w:rsidRPr="00D004EE">
        <w:rPr>
          <w:rStyle w:val="Emphasis"/>
        </w:rPr>
        <w:t>This section describes those language, literacy, numeracy and emp</w:t>
      </w:r>
      <w:r w:rsidRPr="00D004EE">
        <w:rPr>
          <w:rStyle w:val="Emphasis"/>
        </w:rPr>
        <w:t>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64"/>
        <w:gridCol w:w="6278"/>
      </w:tblGrid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rPr>
                <w:rStyle w:val="SpecialBold"/>
              </w:rPr>
              <w:t>Skill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rPr>
                <w:rStyle w:val="SpecialBold"/>
              </w:rPr>
              <w:t>Description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Reading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Reviews and interprets job sheet instructions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Writing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Uses industry specific terminology to complete and update workplace documentation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Numeracy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Uses basic mathematical formulae to determine required consumables, adjust equipment and machinery, and estimate time required to complete job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Self-management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ListBullet"/>
            </w:pPr>
            <w:r w:rsidRPr="00B65970">
              <w:t xml:space="preserve">Takes some personal responsibility for adherence to organisational procedures </w:t>
            </w:r>
          </w:p>
          <w:p w:rsidR="00000000" w:rsidRPr="00B65970" w:rsidP="00B65970">
            <w:pPr>
              <w:pStyle w:val="ListBullet"/>
            </w:pPr>
            <w:r w:rsidRPr="00B65970">
              <w:t>Considers own role for its contribution to broader goals of work team</w:t>
            </w:r>
          </w:p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Takes responsibility for routine low-impact decisions within familiar situations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 xml:space="preserve">Teamwork 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Cooperates wit</w:t>
            </w:r>
            <w:r w:rsidRPr="00B65970">
              <w:t>h others as part of familiar, routine activities and contributes to specific activities requiring joint responsibility and accountability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 xml:space="preserve">Planning and organising 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With assistance, determines priorities and sequences steps involved in clearly defined, fam</w:t>
            </w:r>
            <w:r w:rsidRPr="00B65970">
              <w:t xml:space="preserve">iliar tasks and identifies and </w:t>
            </w:r>
            <w:r w:rsidRPr="00B65970">
              <w:t>assembles required resources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 xml:space="preserve">Problem solving 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Begins to identify and implement standard solutions for an increasing range of routine problems</w:t>
            </w:r>
          </w:p>
        </w:tc>
      </w:tr>
      <w:tr w:rsidTr="00B6597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970">
            <w:pPr>
              <w:pStyle w:val="BodyText"/>
              <w:rPr>
                <w:lang w:val="en-NZ"/>
              </w:rPr>
            </w:pPr>
            <w:r w:rsidRPr="00B65970">
              <w:t>Technology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ListBullet"/>
            </w:pPr>
            <w:r w:rsidRPr="00B65970">
              <w:t>Identifies purpose and some specific functions of some common digital tools used in work contexts</w:t>
            </w:r>
          </w:p>
        </w:tc>
      </w:tr>
    </w:tbl>
    <w:p w:rsidR="00000000" w:rsidRPr="00B65970" w:rsidP="00B65970">
      <w:pPr>
        <w:pStyle w:val="BodyText"/>
      </w:pPr>
    </w:p>
    <w:p w:rsidR="00000000" w:rsidRPr="00B65970" w:rsidP="00B65970">
      <w:pPr>
        <w:pStyle w:val="AllowPageBreak"/>
      </w:pPr>
    </w:p>
    <w:p w:rsidR="00000000" w:rsidRPr="00B65970" w:rsidP="00B65970">
      <w:pPr>
        <w:pStyle w:val="Heading1"/>
      </w:pPr>
      <w:bookmarkStart w:id="6" w:name="O_1072143"/>
      <w:bookmarkEnd w:id="6"/>
      <w:r w:rsidRPr="00B65970">
        <w:t>Range of Conditions</w:t>
      </w:r>
    </w:p>
    <w:p w:rsidR="00000000" w:rsidRPr="00D004EE" w:rsidP="00D004EE">
      <w:pPr>
        <w:pStyle w:val="BodyText"/>
        <w:rPr>
          <w:i/>
        </w:rPr>
      </w:pPr>
      <w:r w:rsidRPr="00D004EE">
        <w:rPr>
          <w:rStyle w:val="Emphasis"/>
        </w:rPr>
        <w:t>This section specifies different work environments and conditions that may affect performance. Essential operating co</w:t>
      </w:r>
      <w:r w:rsidRPr="00D004EE">
        <w:rPr>
          <w:rStyle w:val="Emphasis"/>
        </w:rPr>
        <w:t xml:space="preserve">nditions that may be present (depending on the work situation, needs of the candidate, accessibility of the item, and local industry </w:t>
      </w:r>
      <w:r w:rsidRPr="00D004EE">
        <w:rPr>
          <w:i/>
        </w:rPr>
        <w:t xml:space="preserve">and regional contexts) </w:t>
      </w:r>
      <w:r w:rsidRPr="00D004EE">
        <w:rPr>
          <w:rStyle w:val="Emphasis"/>
        </w:rPr>
        <w:t>are included. It is restricted to essential operating conditions and any other variables essential t</w:t>
      </w:r>
      <w:r w:rsidRPr="00D004EE">
        <w:rPr>
          <w:rStyle w:val="Emphasis"/>
        </w:rPr>
        <w:t>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9"/>
        <w:gridCol w:w="5525"/>
      </w:tblGrid>
      <w:tr w:rsidTr="00B65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Delivery systems must include either:</w:t>
            </w:r>
          </w:p>
          <w:p w:rsidR="00000000" w:rsidP="00B65970">
            <w:pPr>
              <w:pStyle w:val="BodyText"/>
              <w:rPr>
                <w:lang w:val="en-NZ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ListBullet"/>
            </w:pPr>
            <w:r w:rsidRPr="00B65970">
              <w:t>reel</w:t>
            </w:r>
          </w:p>
          <w:p w:rsidR="00000000" w:rsidRPr="00B65970" w:rsidP="00B65970">
            <w:pPr>
              <w:pStyle w:val="BodyText"/>
            </w:pPr>
            <w:r w:rsidRPr="00B65970">
              <w:t xml:space="preserve">OR </w:t>
            </w:r>
          </w:p>
          <w:p w:rsidR="00000000" w:rsidP="00B65970">
            <w:pPr>
              <w:pStyle w:val="ListBullet"/>
              <w:rPr>
                <w:lang w:val="en-NZ"/>
              </w:rPr>
            </w:pPr>
            <w:r w:rsidRPr="00B65970">
              <w:t>sheet</w:t>
            </w:r>
          </w:p>
        </w:tc>
      </w:tr>
      <w:tr w:rsidTr="00B65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6"/>
        </w:trPr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BodyText"/>
            </w:pPr>
            <w:r w:rsidRPr="00B65970">
              <w:t>Monitoring and adjusting must include either:</w:t>
            </w:r>
          </w:p>
          <w:p w:rsidR="00000000" w:rsidP="00B65970">
            <w:pPr>
              <w:pStyle w:val="BodyText"/>
              <w:rPr>
                <w:lang w:val="en-NZ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970" w:rsidP="00B65970">
            <w:pPr>
              <w:pStyle w:val="ListBullet"/>
            </w:pPr>
            <w:r w:rsidRPr="00B65970">
              <w:t>reel stand and rewind section</w:t>
            </w:r>
          </w:p>
          <w:p w:rsidR="00000000" w:rsidRPr="00B65970" w:rsidP="00B65970">
            <w:pPr>
              <w:pStyle w:val="ListBullet"/>
            </w:pPr>
            <w:r w:rsidRPr="00B65970">
              <w:t>web control system</w:t>
            </w:r>
          </w:p>
          <w:p w:rsidR="00000000" w:rsidRPr="00B65970" w:rsidP="00B65970">
            <w:pPr>
              <w:pStyle w:val="ListBullet"/>
            </w:pPr>
            <w:r w:rsidRPr="00B65970">
              <w:t>sheeting section</w:t>
            </w:r>
          </w:p>
          <w:p w:rsidR="00000000" w:rsidRPr="00B65970" w:rsidP="00B65970">
            <w:pPr>
              <w:pStyle w:val="BodyText"/>
            </w:pPr>
            <w:r w:rsidRPr="00B65970">
              <w:t>OR</w:t>
            </w:r>
          </w:p>
          <w:p w:rsidR="00000000" w:rsidRPr="00B65970" w:rsidP="00B65970">
            <w:pPr>
              <w:pStyle w:val="ListBullet"/>
            </w:pPr>
            <w:r w:rsidRPr="00B65970">
              <w:t>feeder</w:t>
            </w:r>
          </w:p>
          <w:p w:rsidR="00000000" w:rsidRPr="00B65970" w:rsidP="00B65970">
            <w:pPr>
              <w:pStyle w:val="ListBullet"/>
            </w:pPr>
            <w:r w:rsidRPr="00B65970">
              <w:t>sheet or product pick-up and transportation system</w:t>
            </w:r>
          </w:p>
          <w:p w:rsidR="00000000" w:rsidRPr="00B65970" w:rsidP="00B65970">
            <w:pPr>
              <w:pStyle w:val="ListBullet"/>
            </w:pPr>
            <w:r w:rsidRPr="00B65970">
              <w:t>transfer system</w:t>
            </w:r>
          </w:p>
          <w:p w:rsidR="00000000" w:rsidRPr="00B65970" w:rsidP="00B65970">
            <w:pPr>
              <w:pStyle w:val="ListBullet"/>
            </w:pPr>
            <w:r w:rsidRPr="00B65970">
              <w:t>delivery system</w:t>
            </w:r>
          </w:p>
        </w:tc>
      </w:tr>
    </w:tbl>
    <w:p w:rsidR="00D004EE" w:rsidP="00B65970">
      <w:pPr>
        <w:pStyle w:val="BodyText"/>
      </w:pPr>
    </w:p>
    <w:p w:rsidR="00D004EE" w:rsidP="00B65970">
      <w:pPr>
        <w:pStyle w:val="BodyText"/>
      </w:pPr>
    </w:p>
    <w:p w:rsidR="00000000" w:rsidRPr="00B65970" w:rsidP="00B65970">
      <w:pPr>
        <w:pStyle w:val="Heading1"/>
      </w:pPr>
      <w:bookmarkStart w:id="7" w:name="O_1072142"/>
      <w:bookmarkEnd w:id="7"/>
      <w:r w:rsidRPr="00B65970">
        <w:t>Unit Mapping Information</w:t>
      </w:r>
    </w:p>
    <w:p w:rsidR="00000000" w:rsidRPr="00B65970" w:rsidP="00D004EE">
      <w:pPr>
        <w:pStyle w:val="BodyText"/>
      </w:pPr>
      <w:r w:rsidRPr="00B65970">
        <w:t>Supersedes and is equivalent to ICPSUP208 Operate and monitor machines (basic).</w:t>
      </w:r>
    </w:p>
    <w:p w:rsidR="00000000" w:rsidRPr="00B65970" w:rsidP="00B65970">
      <w:pPr>
        <w:pStyle w:val="Heading1"/>
      </w:pPr>
      <w:bookmarkStart w:id="8" w:name="O_1072135"/>
      <w:bookmarkEnd w:id="8"/>
      <w:r w:rsidRPr="00B65970">
        <w:t>Links</w:t>
      </w:r>
    </w:p>
    <w:p w:rsidR="00000000" w:rsidRPr="00B65970" w:rsidP="00D004EE">
      <w:pPr>
        <w:pStyle w:val="BodyText"/>
      </w:pPr>
      <w:r w:rsidRPr="00B659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3E1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65970" w:rsidP="00B65970"/>
    <w:sectPr w:rsidSect="00B65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70" w:rsidRPr="00D004EE" w:rsidP="00D00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EE" w:rsidP="00B65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4EE" w:rsidP="00B65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04EE" w:rsidP="00B65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970" w:rsidRPr="00D004EE" w:rsidP="00D00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EE" w:rsidRPr="002D2AF8" w:rsidP="00B65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ICPSUP2080 Operate and monitor machines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004EE" w:rsidP="00B65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CE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09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970"/>
  </w:style>
  <w:style w:type="character" w:customStyle="1" w:styleId="Heading1Char">
    <w:name w:val="Heading 1 Char"/>
    <w:basedOn w:val="DefaultParagraphFont"/>
    <w:link w:val="Heading1"/>
    <w:rsid w:val="00B65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9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970"/>
    <w:rPr>
      <w:b/>
      <w:spacing w:val="0"/>
    </w:rPr>
  </w:style>
  <w:style w:type="character" w:styleId="Emphasis">
    <w:name w:val="Emphasis"/>
    <w:basedOn w:val="DefaultParagraphFont"/>
    <w:qFormat/>
    <w:rsid w:val="00B65970"/>
    <w:rPr>
      <w:i/>
    </w:rPr>
  </w:style>
  <w:style w:type="paragraph" w:customStyle="1" w:styleId="SuperHeading">
    <w:name w:val="SuperHeading"/>
    <w:basedOn w:val="Normal"/>
    <w:rsid w:val="00B65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9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9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970"/>
  </w:style>
  <w:style w:type="paragraph" w:styleId="TableofFigures">
    <w:name w:val="table of figures"/>
    <w:basedOn w:val="Normal"/>
    <w:next w:val="Normal"/>
    <w:semiHidden/>
    <w:rsid w:val="00B65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9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970"/>
    <w:rPr>
      <w:rFonts w:ascii="Wingdings" w:hAnsi="Wingdings"/>
    </w:rPr>
  </w:style>
  <w:style w:type="paragraph" w:customStyle="1" w:styleId="TableHeading">
    <w:name w:val="Table Heading"/>
    <w:basedOn w:val="HeadingBase"/>
    <w:rsid w:val="00B65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970"/>
    <w:rPr>
      <w:color w:val="0033CC"/>
      <w:u w:val="none"/>
    </w:rPr>
  </w:style>
  <w:style w:type="paragraph" w:customStyle="1" w:styleId="BodyTextRight">
    <w:name w:val="Body Text Right"/>
    <w:basedOn w:val="BodyText"/>
    <w:rsid w:val="00B65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970"/>
    <w:rPr>
      <w:sz w:val="32"/>
    </w:rPr>
  </w:style>
  <w:style w:type="paragraph" w:customStyle="1" w:styleId="HeadingProcedure">
    <w:name w:val="Heading Procedure"/>
    <w:basedOn w:val="HeadingBase"/>
    <w:next w:val="Normal"/>
    <w:rsid w:val="00B65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970"/>
    <w:pPr>
      <w:spacing w:before="60" w:after="60"/>
    </w:pPr>
  </w:style>
  <w:style w:type="paragraph" w:styleId="ListContinue">
    <w:name w:val="List Continue"/>
    <w:basedOn w:val="List"/>
    <w:rsid w:val="00B65970"/>
    <w:pPr>
      <w:ind w:firstLine="0"/>
    </w:pPr>
  </w:style>
  <w:style w:type="paragraph" w:customStyle="1" w:styleId="ListNote">
    <w:name w:val="List Note"/>
    <w:basedOn w:val="List"/>
    <w:rsid w:val="00B65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970"/>
    <w:rPr>
      <w:rFonts w:ascii="Courier New" w:hAnsi="Courier New"/>
    </w:rPr>
  </w:style>
  <w:style w:type="paragraph" w:customStyle="1" w:styleId="NoteBullet">
    <w:name w:val="Note Bullet"/>
    <w:basedOn w:val="Note"/>
    <w:rsid w:val="00B65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9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970"/>
    <w:rPr>
      <w:b/>
      <w:smallCaps/>
    </w:rPr>
  </w:style>
  <w:style w:type="paragraph" w:customStyle="1" w:styleId="TableListNumber">
    <w:name w:val="Table List Number"/>
    <w:basedOn w:val="ListNumber"/>
    <w:rsid w:val="00B65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970"/>
    <w:pPr>
      <w:numPr>
        <w:numId w:val="8"/>
      </w:numPr>
    </w:pPr>
  </w:style>
  <w:style w:type="paragraph" w:customStyle="1" w:styleId="ListAlpha2">
    <w:name w:val="List Alpha 2"/>
    <w:basedOn w:val="List2"/>
    <w:rsid w:val="00B65970"/>
    <w:pPr>
      <w:numPr>
        <w:numId w:val="7"/>
      </w:numPr>
    </w:pPr>
  </w:style>
  <w:style w:type="paragraph" w:styleId="List2">
    <w:name w:val="List 2"/>
    <w:basedOn w:val="BodyText"/>
    <w:rsid w:val="00B65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9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9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970"/>
    <w:pPr>
      <w:numPr>
        <w:numId w:val="3"/>
      </w:numPr>
    </w:pPr>
  </w:style>
  <w:style w:type="paragraph" w:styleId="ListContinue2">
    <w:name w:val="List Continue 2"/>
    <w:basedOn w:val="List2"/>
    <w:rsid w:val="00B65970"/>
    <w:pPr>
      <w:ind w:firstLine="0"/>
    </w:pPr>
  </w:style>
  <w:style w:type="paragraph" w:styleId="ListContinue3">
    <w:name w:val="List Continue 3"/>
    <w:basedOn w:val="List3"/>
    <w:rsid w:val="00B65970"/>
    <w:pPr>
      <w:ind w:left="1021" w:firstLine="0"/>
    </w:pPr>
  </w:style>
  <w:style w:type="paragraph" w:styleId="ListContinue4">
    <w:name w:val="List Continue 4"/>
    <w:basedOn w:val="List4"/>
    <w:rsid w:val="00B65970"/>
    <w:pPr>
      <w:ind w:firstLine="0"/>
    </w:pPr>
  </w:style>
  <w:style w:type="paragraph" w:styleId="ListContinue5">
    <w:name w:val="List Continue 5"/>
    <w:basedOn w:val="List5"/>
    <w:rsid w:val="00B65970"/>
    <w:pPr>
      <w:ind w:firstLine="0"/>
    </w:pPr>
  </w:style>
  <w:style w:type="paragraph" w:styleId="ListNumber3">
    <w:name w:val="List Number 3"/>
    <w:basedOn w:val="List3"/>
    <w:rsid w:val="00B65970"/>
    <w:pPr>
      <w:numPr>
        <w:numId w:val="4"/>
      </w:numPr>
    </w:pPr>
  </w:style>
  <w:style w:type="paragraph" w:styleId="ListNumber4">
    <w:name w:val="List Number 4"/>
    <w:basedOn w:val="List4"/>
    <w:rsid w:val="00B65970"/>
    <w:pPr>
      <w:numPr>
        <w:numId w:val="5"/>
      </w:numPr>
    </w:pPr>
  </w:style>
  <w:style w:type="paragraph" w:styleId="ListNumber5">
    <w:name w:val="List Number 5"/>
    <w:basedOn w:val="List5"/>
    <w:rsid w:val="00B65970"/>
    <w:pPr>
      <w:numPr>
        <w:numId w:val="6"/>
      </w:numPr>
    </w:pPr>
  </w:style>
  <w:style w:type="paragraph" w:styleId="BlockText">
    <w:name w:val="Block Text"/>
    <w:basedOn w:val="Normal"/>
    <w:rsid w:val="00B65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970"/>
    <w:rPr>
      <w:sz w:val="16"/>
      <w:vertAlign w:val="superscript"/>
    </w:rPr>
  </w:style>
  <w:style w:type="character" w:customStyle="1" w:styleId="Symbols">
    <w:name w:val="Symbols"/>
    <w:basedOn w:val="DefaultParagraphFont"/>
    <w:rsid w:val="00B65970"/>
    <w:rPr>
      <w:rFonts w:ascii="Symbol" w:hAnsi="Symbol"/>
    </w:rPr>
  </w:style>
  <w:style w:type="character" w:customStyle="1" w:styleId="MenuOptions">
    <w:name w:val="Menu Options"/>
    <w:basedOn w:val="DefaultParagraphFont"/>
    <w:rsid w:val="00B65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970"/>
    <w:rPr>
      <w:b/>
    </w:rPr>
  </w:style>
  <w:style w:type="character" w:customStyle="1" w:styleId="Underlined">
    <w:name w:val="Underlined"/>
    <w:basedOn w:val="DefaultParagraphFont"/>
    <w:rsid w:val="00B65970"/>
    <w:rPr>
      <w:u w:val="single"/>
    </w:rPr>
  </w:style>
  <w:style w:type="paragraph" w:customStyle="1" w:styleId="TableBodyTextRight">
    <w:name w:val="Table Body Text Right"/>
    <w:basedOn w:val="TableBodyText"/>
    <w:rsid w:val="00B65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970"/>
    <w:rPr>
      <w:sz w:val="18"/>
    </w:rPr>
  </w:style>
  <w:style w:type="paragraph" w:customStyle="1" w:styleId="BodySmallRight">
    <w:name w:val="Body Small Right"/>
    <w:basedOn w:val="BodyTextRight"/>
    <w:rsid w:val="00B65970"/>
    <w:rPr>
      <w:sz w:val="18"/>
      <w:szCs w:val="18"/>
    </w:rPr>
  </w:style>
  <w:style w:type="paragraph" w:customStyle="1" w:styleId="MarginEdition">
    <w:name w:val="Margin Edition"/>
    <w:basedOn w:val="MarginNote"/>
    <w:rsid w:val="00B65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970"/>
    <w:rPr>
      <w:sz w:val="2"/>
      <w:szCs w:val="2"/>
    </w:rPr>
  </w:style>
  <w:style w:type="character" w:customStyle="1" w:styleId="Small">
    <w:name w:val="Small"/>
    <w:basedOn w:val="DefaultParagraphFont"/>
    <w:rsid w:val="00B65970"/>
    <w:rPr>
      <w:sz w:val="16"/>
    </w:rPr>
  </w:style>
  <w:style w:type="paragraph" w:customStyle="1" w:styleId="WideTable">
    <w:name w:val="Wide Table"/>
    <w:basedOn w:val="Normal"/>
    <w:rsid w:val="00B65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970"/>
  </w:style>
  <w:style w:type="paragraph" w:styleId="Quote">
    <w:name w:val="Quote"/>
    <w:basedOn w:val="Heading1"/>
    <w:link w:val="QuoteChar"/>
    <w:qFormat/>
    <w:rsid w:val="00B65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970"/>
    <w:pPr>
      <w:pageBreakBefore/>
    </w:pPr>
  </w:style>
  <w:style w:type="paragraph" w:customStyle="1" w:styleId="Border">
    <w:name w:val="Border"/>
    <w:basedOn w:val="Normal"/>
    <w:qFormat/>
    <w:rsid w:val="00B65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970"/>
    <w:rPr>
      <w:u w:val="single"/>
    </w:rPr>
  </w:style>
  <w:style w:type="character" w:customStyle="1" w:styleId="BoldandItalics">
    <w:name w:val="Bold and Italics"/>
    <w:qFormat/>
    <w:rsid w:val="00B65970"/>
    <w:rPr>
      <w:b/>
      <w:i/>
      <w:u w:val="none"/>
    </w:rPr>
  </w:style>
  <w:style w:type="paragraph" w:styleId="BalloonText">
    <w:name w:val="Balloon Text"/>
    <w:basedOn w:val="Normal"/>
    <w:link w:val="BalloonTextChar"/>
    <w:rsid w:val="00B6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970"/>
    <w:pPr>
      <w:spacing w:before="0" w:after="0"/>
    </w:pPr>
  </w:style>
  <w:style w:type="paragraph" w:customStyle="1" w:styleId="BodyTextBold">
    <w:name w:val="Body Text Bold"/>
    <w:basedOn w:val="BodyText"/>
    <w:qFormat/>
    <w:rsid w:val="00B65970"/>
    <w:rPr>
      <w:b/>
    </w:rPr>
  </w:style>
  <w:style w:type="character" w:styleId="Hyperlink">
    <w:name w:val="Hyperlink"/>
    <w:basedOn w:val="DefaultParagraphFont"/>
    <w:uiPriority w:val="99"/>
    <w:unhideWhenUsed/>
    <w:rsid w:val="00D00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3982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ICPSUP2080 Operate and monitor machines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