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C7B" w:rsidP="00287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ICPSCP2330 Manually prepare direct emulsion stencil</w:t>
      </w:r>
      <w:r>
        <w:fldChar w:fldCharType="end"/>
      </w:r>
    </w:p>
    <w:p w:rsidR="00287C7B" w:rsidP="00287C7B">
      <w:pPr>
        <w:pStyle w:val="Version"/>
        <w:sectPr w:rsidSect="00CE2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21F" w:rsidP="00CE221F">
      <w:pPr>
        <w:pStyle w:val="SuperHeading"/>
      </w:pPr>
      <w:r w:rsidRPr="00CE221F">
        <w:t>ICPSCP2330 Manually prepare direct emulsion stencil</w:t>
      </w:r>
    </w:p>
    <w:p w:rsidR="00000000" w:rsidRPr="00CE221F" w:rsidP="00CE221F">
      <w:pPr>
        <w:pStyle w:val="Heading1"/>
      </w:pPr>
      <w:bookmarkStart w:id="1" w:name="O_1073001"/>
      <w:bookmarkEnd w:id="1"/>
      <w:r w:rsidRPr="00CE22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E2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rPr>
                <w:rStyle w:val="SpecialBold"/>
              </w:rPr>
              <w:t>Comments</w:t>
            </w:r>
          </w:p>
        </w:tc>
      </w:tr>
      <w:tr w:rsidTr="00CE2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>This version first released with ICP Printing and Graphic Arts Training Package Version 4.0.</w:t>
            </w:r>
          </w:p>
        </w:tc>
      </w:tr>
    </w:tbl>
    <w:p w:rsidR="00000000" w:rsidRPr="00CE221F" w:rsidP="00CE221F">
      <w:pPr>
        <w:pStyle w:val="BodyText"/>
      </w:pPr>
    </w:p>
    <w:p w:rsidR="00000000" w:rsidRPr="00CE221F" w:rsidP="00CE221F">
      <w:pPr>
        <w:pStyle w:val="AllowPageBreak"/>
      </w:pPr>
    </w:p>
    <w:p w:rsidR="00000000" w:rsidRPr="00CE221F" w:rsidP="00CE221F">
      <w:pPr>
        <w:pStyle w:val="Heading1"/>
      </w:pPr>
      <w:bookmarkStart w:id="2" w:name="O_1073006"/>
      <w:bookmarkEnd w:id="2"/>
      <w:r w:rsidRPr="00CE221F">
        <w:t>Application</w:t>
      </w:r>
    </w:p>
    <w:p w:rsidR="00000000" w:rsidRPr="00CE221F" w:rsidP="00287C7B">
      <w:pPr>
        <w:pStyle w:val="BodyText"/>
      </w:pPr>
      <w:r w:rsidRPr="00CE221F">
        <w:t xml:space="preserve">This unit describes the skills and knowledge required to safely select, </w:t>
      </w:r>
      <w:r w:rsidRPr="00CE221F">
        <w:t>prepare and store direct emulsion stencils using manual techniques.</w:t>
      </w:r>
    </w:p>
    <w:p w:rsidR="00000000" w:rsidRPr="00CE221F" w:rsidP="00287C7B">
      <w:pPr>
        <w:pStyle w:val="BodyText"/>
      </w:pPr>
      <w:r w:rsidRPr="00CE221F">
        <w:t>It applies to individuals working in the printing and graphic arts industry under direct supervision and performing mainly routine tasks such as monitoring equipment and ensuring set proce</w:t>
      </w:r>
      <w:r w:rsidRPr="00CE221F">
        <w:t>sses are followed.</w:t>
      </w:r>
    </w:p>
    <w:p w:rsidR="00000000" w:rsidRPr="00CE221F" w:rsidP="00287C7B">
      <w:pPr>
        <w:pStyle w:val="BodyText"/>
      </w:pPr>
      <w:r w:rsidRPr="00CE221F">
        <w:t>No licensing, legislative or certification requirements apply to this unit at the time of publication.</w:t>
      </w:r>
    </w:p>
    <w:p w:rsidR="00000000" w:rsidRPr="00CE221F" w:rsidP="00CE221F">
      <w:pPr>
        <w:pStyle w:val="Heading1"/>
      </w:pPr>
      <w:bookmarkStart w:id="3" w:name="O_1073005"/>
      <w:bookmarkEnd w:id="3"/>
      <w:r w:rsidRPr="00CE221F">
        <w:t>Unit Sector</w:t>
      </w:r>
    </w:p>
    <w:p w:rsidR="00000000" w:rsidRPr="00CE221F" w:rsidP="00287C7B">
      <w:pPr>
        <w:pStyle w:val="BodyText"/>
      </w:pPr>
      <w:r w:rsidRPr="00CE221F">
        <w:t>Screen printing</w:t>
      </w:r>
    </w:p>
    <w:p w:rsidR="00000000" w:rsidRPr="00CE221F" w:rsidP="00CE221F">
      <w:pPr>
        <w:pStyle w:val="Heading1"/>
      </w:pPr>
      <w:bookmarkStart w:id="4" w:name="O_1073004"/>
      <w:bookmarkEnd w:id="4"/>
      <w:r w:rsidRPr="00CE221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rPr>
                <w:rStyle w:val="SpecialBold"/>
              </w:rPr>
              <w:t>PERFORMANCE CRITERIA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1. Prepare work area and equipment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 xml:space="preserve">1.1 Clean work area according to enterprise procedures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1.2 Inspect equipment and </w:t>
            </w:r>
            <w:r w:rsidRPr="00CE221F">
              <w:t xml:space="preserve">undertake remedial action prior to commencement of work as required </w:t>
            </w:r>
          </w:p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1.3 Select coating trough and confirm it is free of nicks and burrs 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2. Prepare screen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 xml:space="preserve">2.1 Select screen according to job specifications </w:t>
            </w:r>
          </w:p>
          <w:p w:rsidR="00000000" w:rsidRPr="00CE221F" w:rsidP="00CE221F">
            <w:pPr>
              <w:pStyle w:val="BodyText"/>
            </w:pPr>
            <w:r w:rsidRPr="00CE221F">
              <w:t>2.2 Apply and remove according to work health an</w:t>
            </w:r>
            <w:r w:rsidRPr="00CE221F">
              <w:t xml:space="preserve">d safety (WHS) requirements and manufacturer specifications </w:t>
            </w:r>
          </w:p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2.3 Check tension of screen mesh 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3. Produce emulsion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 xml:space="preserve">3.1 Select emulsion according to requirements for ink type, print resolution, substrate, mesh type and machine type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3.2 Check emulsion expiry date and take action as required 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3.3 Prepare emulsion  </w:t>
            </w:r>
          </w:p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3.4 Apply and dry emulsion according to manufacturer specifications 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4. Process coated screen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>4.1 Position image films onto prepared screen and position in cleaned and pre</w:t>
            </w:r>
            <w:r w:rsidRPr="00CE221F">
              <w:t xml:space="preserve">pared exposure device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4.2 Position light source according to manufacturer specifications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4.3 Calculate exposure and expose stencil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4.4 Remove exposed screen from vacuum frame exposure device </w:t>
            </w:r>
          </w:p>
          <w:p w:rsidR="00000000" w:rsidRPr="00CE221F" w:rsidP="00CE221F">
            <w:pPr>
              <w:pStyle w:val="BodyText"/>
            </w:pPr>
            <w:r w:rsidRPr="00CE221F">
              <w:t>4.5 Wash exposed screen according to WHS requirements and man</w:t>
            </w:r>
            <w:r w:rsidRPr="00CE221F">
              <w:t xml:space="preserve">ufacturer specifications </w:t>
            </w:r>
          </w:p>
          <w:p w:rsidR="00000000" w:rsidRPr="00CE221F" w:rsidP="00CE221F">
            <w:pPr>
              <w:pStyle w:val="BodyText"/>
            </w:pPr>
            <w:r w:rsidRPr="00CE221F">
              <w:t>4.6 Inspect processed stencil or screen for flaws, scum and orientation</w:t>
            </w:r>
          </w:p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4.7 Spot out pinholes and tape according to ink type and job specifications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5. Clean stencil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>5.1 Dry processed stencil according to manufacturer specificatio</w:t>
            </w:r>
            <w:r w:rsidRPr="00CE221F">
              <w:t>ns</w:t>
            </w:r>
          </w:p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5.2 Remove backing sheet and check stencil for full adhesion </w:t>
            </w:r>
          </w:p>
        </w:tc>
      </w:tr>
      <w:tr w:rsidTr="00CE221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6. Store screen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t xml:space="preserve">6.1 Label prepared screen according to enterprise procedures </w:t>
            </w:r>
          </w:p>
          <w:p w:rsidR="00000000" w:rsidRPr="00CE221F" w:rsidP="00CE221F">
            <w:pPr>
              <w:pStyle w:val="BodyText"/>
            </w:pPr>
            <w:r w:rsidRPr="00CE221F">
              <w:t xml:space="preserve">6.2 Store prepared screen according to manufacturer specifications </w:t>
            </w:r>
          </w:p>
        </w:tc>
      </w:tr>
    </w:tbl>
    <w:p w:rsidR="00000000" w:rsidRPr="00CE221F" w:rsidP="00CE221F">
      <w:pPr>
        <w:pStyle w:val="BodyText"/>
      </w:pPr>
    </w:p>
    <w:p w:rsidR="00000000" w:rsidRPr="00CE221F" w:rsidP="00CE221F">
      <w:pPr>
        <w:pStyle w:val="AllowPageBreak"/>
      </w:pPr>
    </w:p>
    <w:p w:rsidR="00000000" w:rsidRPr="00CE221F" w:rsidP="00CE221F">
      <w:pPr>
        <w:pStyle w:val="Heading1"/>
      </w:pPr>
      <w:bookmarkStart w:id="5" w:name="O_1073003"/>
      <w:bookmarkEnd w:id="5"/>
      <w:r w:rsidRPr="00CE221F">
        <w:t>Foundation Skills</w:t>
      </w:r>
    </w:p>
    <w:p w:rsidR="00000000" w:rsidRPr="00287C7B" w:rsidP="00287C7B">
      <w:pPr>
        <w:pStyle w:val="BodyText"/>
        <w:rPr>
          <w:i/>
        </w:rPr>
      </w:pPr>
      <w:r w:rsidRPr="00287C7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969"/>
      </w:tblGrid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BodyText"/>
            </w:pPr>
            <w:r w:rsidRPr="00CE221F">
              <w:rPr>
                <w:rStyle w:val="SpecialBold"/>
              </w:rPr>
              <w:t>Skill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rPr>
                <w:rStyle w:val="SpecialBold"/>
              </w:rPr>
              <w:t>Description</w:t>
            </w:r>
          </w:p>
        </w:tc>
      </w:tr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Writing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ListBullet"/>
              <w:rPr>
                <w:lang w:val="en-NZ"/>
              </w:rPr>
            </w:pPr>
            <w:r w:rsidRPr="00CE221F">
              <w:t>Completes required details legibly and accurately for reference deta</w:t>
            </w:r>
            <w:r w:rsidRPr="00CE221F">
              <w:t>ils</w:t>
            </w:r>
          </w:p>
        </w:tc>
      </w:tr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Numeracy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ListBullet"/>
              <w:rPr>
                <w:lang w:val="en-NZ"/>
              </w:rPr>
            </w:pPr>
            <w:r w:rsidRPr="00CE221F">
              <w:t>Identifies basic numerical data and calculates whole numbers and decimals for exposure time and measurements</w:t>
            </w:r>
          </w:p>
        </w:tc>
      </w:tr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>Self-management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ListBullet"/>
              <w:rPr>
                <w:lang w:val="en-NZ"/>
              </w:rPr>
            </w:pPr>
            <w:r w:rsidRPr="00CE221F">
              <w:t>Takes personal responsibility for adherence to enterprise procedures relevant to own role</w:t>
            </w:r>
          </w:p>
        </w:tc>
      </w:tr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Planning and </w:t>
            </w:r>
            <w:r w:rsidRPr="00CE221F">
              <w:t xml:space="preserve">organising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ListBullet"/>
            </w:pPr>
            <w:r w:rsidRPr="00CE221F">
              <w:t xml:space="preserve">Follows clearly defined instructions and sequencing and monitors </w:t>
            </w:r>
            <w:r w:rsidRPr="00CE221F">
              <w:t>own progress for the task</w:t>
            </w:r>
          </w:p>
          <w:p w:rsidR="00000000" w:rsidP="00CE221F">
            <w:pPr>
              <w:pStyle w:val="ListBullet"/>
              <w:rPr>
                <w:lang w:val="en-NZ"/>
              </w:rPr>
            </w:pPr>
            <w:r w:rsidRPr="00CE221F">
              <w:t>Takes responsibility for routine low-impact decisions within familiar situations</w:t>
            </w:r>
          </w:p>
        </w:tc>
      </w:tr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Problem solving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ListBullet"/>
              <w:rPr>
                <w:lang w:val="en-NZ"/>
              </w:rPr>
            </w:pPr>
            <w:r w:rsidRPr="00CE221F">
              <w:t>Responds to predictable problems and im</w:t>
            </w:r>
            <w:r w:rsidRPr="00CE221F">
              <w:t>plements standard or logical solutions</w:t>
            </w:r>
          </w:p>
        </w:tc>
      </w:tr>
      <w:tr w:rsidTr="00CE221F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21F">
            <w:pPr>
              <w:pStyle w:val="BodyText"/>
              <w:rPr>
                <w:lang w:val="en-NZ"/>
              </w:rPr>
            </w:pPr>
            <w:r w:rsidRPr="00CE221F">
              <w:t xml:space="preserve">Technology 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21F" w:rsidP="00CE221F">
            <w:pPr>
              <w:pStyle w:val="ListBullet"/>
            </w:pPr>
            <w:r w:rsidRPr="00CE221F">
              <w:t>Identifies the purpose and some specific functions of some common digital tools used in work contexts</w:t>
            </w:r>
          </w:p>
        </w:tc>
      </w:tr>
    </w:tbl>
    <w:p w:rsidR="00000000" w:rsidRPr="00CE221F" w:rsidP="00CE221F">
      <w:pPr>
        <w:pStyle w:val="BodyText"/>
      </w:pPr>
    </w:p>
    <w:p w:rsidR="00000000" w:rsidRPr="00CE221F" w:rsidP="00CE221F">
      <w:pPr>
        <w:pStyle w:val="AllowPageBreak"/>
      </w:pPr>
    </w:p>
    <w:p w:rsidR="00000000" w:rsidRPr="00CE221F" w:rsidP="00CE221F">
      <w:pPr>
        <w:pStyle w:val="Heading1"/>
      </w:pPr>
      <w:bookmarkStart w:id="6" w:name="O_1073002"/>
      <w:bookmarkEnd w:id="6"/>
      <w:r w:rsidRPr="00CE221F">
        <w:t>Unit Mapping Information</w:t>
      </w:r>
    </w:p>
    <w:p w:rsidR="00000000" w:rsidRPr="00CE221F" w:rsidP="00287C7B">
      <w:pPr>
        <w:pStyle w:val="BodyText"/>
      </w:pPr>
      <w:r w:rsidRPr="00CE221F">
        <w:t>Supersedes and is equivalent to ICPSCP233 Manually prepare direct emulsion stencil.</w:t>
      </w:r>
    </w:p>
    <w:p w:rsidR="00000000" w:rsidRPr="00CE221F" w:rsidP="00CE221F">
      <w:pPr>
        <w:pStyle w:val="Heading1"/>
      </w:pPr>
      <w:bookmarkStart w:id="7" w:name="O_1072995"/>
      <w:bookmarkEnd w:id="7"/>
      <w:r w:rsidRPr="00CE221F">
        <w:t>Links</w:t>
      </w:r>
    </w:p>
    <w:p w:rsidR="00000000" w:rsidRPr="00CE221F" w:rsidP="00287C7B">
      <w:pPr>
        <w:pStyle w:val="BodyText"/>
      </w:pPr>
      <w:r w:rsidRPr="00CE22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67FD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E221F" w:rsidP="00CE221F"/>
    <w:sectPr w:rsidSect="00CE22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F" w:rsidRPr="00287C7B" w:rsidP="00287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7B" w:rsidP="00CE2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C7B" w:rsidP="00CE2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7C7B" w:rsidP="00CE2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21F" w:rsidRPr="00287C7B" w:rsidP="00287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7B" w:rsidRPr="002D2AF8" w:rsidP="00CE2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ICPSCP2330 Manually prepare direct emulsion stencil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87C7B" w:rsidP="00CE2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A6B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0C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21F"/>
  </w:style>
  <w:style w:type="character" w:customStyle="1" w:styleId="Heading1Char">
    <w:name w:val="Heading 1 Char"/>
    <w:basedOn w:val="DefaultParagraphFont"/>
    <w:link w:val="Heading1"/>
    <w:rsid w:val="00CE2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2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2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221F"/>
    <w:rPr>
      <w:b/>
      <w:spacing w:val="0"/>
    </w:rPr>
  </w:style>
  <w:style w:type="character" w:styleId="Emphasis">
    <w:name w:val="Emphasis"/>
    <w:basedOn w:val="DefaultParagraphFont"/>
    <w:qFormat/>
    <w:rsid w:val="00CE221F"/>
    <w:rPr>
      <w:i/>
    </w:rPr>
  </w:style>
  <w:style w:type="paragraph" w:customStyle="1" w:styleId="SuperHeading">
    <w:name w:val="SuperHeading"/>
    <w:basedOn w:val="Normal"/>
    <w:rsid w:val="00CE2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2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2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2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21F"/>
  </w:style>
  <w:style w:type="paragraph" w:styleId="TableofFigures">
    <w:name w:val="table of figures"/>
    <w:basedOn w:val="Normal"/>
    <w:next w:val="Normal"/>
    <w:semiHidden/>
    <w:rsid w:val="00CE2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2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221F"/>
    <w:rPr>
      <w:rFonts w:ascii="Wingdings" w:hAnsi="Wingdings"/>
    </w:rPr>
  </w:style>
  <w:style w:type="paragraph" w:customStyle="1" w:styleId="TableHeading">
    <w:name w:val="Table Heading"/>
    <w:basedOn w:val="HeadingBase"/>
    <w:rsid w:val="00CE2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21F"/>
    <w:rPr>
      <w:color w:val="0033CC"/>
      <w:u w:val="none"/>
    </w:rPr>
  </w:style>
  <w:style w:type="paragraph" w:customStyle="1" w:styleId="BodyTextRight">
    <w:name w:val="Body Text Right"/>
    <w:basedOn w:val="BodyText"/>
    <w:rsid w:val="00CE2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2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21F"/>
    <w:rPr>
      <w:sz w:val="32"/>
    </w:rPr>
  </w:style>
  <w:style w:type="paragraph" w:customStyle="1" w:styleId="HeadingProcedure">
    <w:name w:val="Heading Procedure"/>
    <w:basedOn w:val="HeadingBase"/>
    <w:next w:val="Normal"/>
    <w:rsid w:val="00CE2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21F"/>
    <w:pPr>
      <w:spacing w:before="60" w:after="60"/>
    </w:pPr>
  </w:style>
  <w:style w:type="paragraph" w:styleId="ListContinue">
    <w:name w:val="List Continue"/>
    <w:basedOn w:val="List"/>
    <w:rsid w:val="00CE221F"/>
    <w:pPr>
      <w:ind w:firstLine="0"/>
    </w:pPr>
  </w:style>
  <w:style w:type="paragraph" w:customStyle="1" w:styleId="ListNote">
    <w:name w:val="List Note"/>
    <w:basedOn w:val="List"/>
    <w:rsid w:val="00CE2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21F"/>
    <w:rPr>
      <w:rFonts w:ascii="Courier New" w:hAnsi="Courier New"/>
    </w:rPr>
  </w:style>
  <w:style w:type="paragraph" w:customStyle="1" w:styleId="NoteBullet">
    <w:name w:val="Note Bullet"/>
    <w:basedOn w:val="Note"/>
    <w:rsid w:val="00CE2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2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2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21F"/>
    <w:rPr>
      <w:b/>
      <w:smallCaps/>
    </w:rPr>
  </w:style>
  <w:style w:type="paragraph" w:customStyle="1" w:styleId="TableListNumber">
    <w:name w:val="Table List Number"/>
    <w:basedOn w:val="ListNumber"/>
    <w:rsid w:val="00CE2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21F"/>
    <w:pPr>
      <w:numPr>
        <w:numId w:val="8"/>
      </w:numPr>
    </w:pPr>
  </w:style>
  <w:style w:type="paragraph" w:customStyle="1" w:styleId="ListAlpha2">
    <w:name w:val="List Alpha 2"/>
    <w:basedOn w:val="List2"/>
    <w:rsid w:val="00CE221F"/>
    <w:pPr>
      <w:numPr>
        <w:numId w:val="7"/>
      </w:numPr>
    </w:pPr>
  </w:style>
  <w:style w:type="paragraph" w:styleId="List2">
    <w:name w:val="List 2"/>
    <w:basedOn w:val="BodyText"/>
    <w:rsid w:val="00CE2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2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2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221F"/>
    <w:pPr>
      <w:numPr>
        <w:numId w:val="3"/>
      </w:numPr>
    </w:pPr>
  </w:style>
  <w:style w:type="paragraph" w:styleId="ListContinue2">
    <w:name w:val="List Continue 2"/>
    <w:basedOn w:val="List2"/>
    <w:rsid w:val="00CE221F"/>
    <w:pPr>
      <w:ind w:firstLine="0"/>
    </w:pPr>
  </w:style>
  <w:style w:type="paragraph" w:styleId="ListContinue3">
    <w:name w:val="List Continue 3"/>
    <w:basedOn w:val="List3"/>
    <w:rsid w:val="00CE221F"/>
    <w:pPr>
      <w:ind w:left="1021" w:firstLine="0"/>
    </w:pPr>
  </w:style>
  <w:style w:type="paragraph" w:styleId="ListContinue4">
    <w:name w:val="List Continue 4"/>
    <w:basedOn w:val="List4"/>
    <w:rsid w:val="00CE221F"/>
    <w:pPr>
      <w:ind w:firstLine="0"/>
    </w:pPr>
  </w:style>
  <w:style w:type="paragraph" w:styleId="ListContinue5">
    <w:name w:val="List Continue 5"/>
    <w:basedOn w:val="List5"/>
    <w:rsid w:val="00CE221F"/>
    <w:pPr>
      <w:ind w:firstLine="0"/>
    </w:pPr>
  </w:style>
  <w:style w:type="paragraph" w:styleId="ListNumber3">
    <w:name w:val="List Number 3"/>
    <w:basedOn w:val="List3"/>
    <w:rsid w:val="00CE221F"/>
    <w:pPr>
      <w:numPr>
        <w:numId w:val="4"/>
      </w:numPr>
    </w:pPr>
  </w:style>
  <w:style w:type="paragraph" w:styleId="ListNumber4">
    <w:name w:val="List Number 4"/>
    <w:basedOn w:val="List4"/>
    <w:rsid w:val="00CE221F"/>
    <w:pPr>
      <w:numPr>
        <w:numId w:val="5"/>
      </w:numPr>
    </w:pPr>
  </w:style>
  <w:style w:type="paragraph" w:styleId="ListNumber5">
    <w:name w:val="List Number 5"/>
    <w:basedOn w:val="List5"/>
    <w:rsid w:val="00CE221F"/>
    <w:pPr>
      <w:numPr>
        <w:numId w:val="6"/>
      </w:numPr>
    </w:pPr>
  </w:style>
  <w:style w:type="paragraph" w:styleId="BlockText">
    <w:name w:val="Block Text"/>
    <w:basedOn w:val="Normal"/>
    <w:rsid w:val="00CE2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21F"/>
    <w:rPr>
      <w:sz w:val="16"/>
      <w:vertAlign w:val="superscript"/>
    </w:rPr>
  </w:style>
  <w:style w:type="character" w:customStyle="1" w:styleId="Symbols">
    <w:name w:val="Symbols"/>
    <w:basedOn w:val="DefaultParagraphFont"/>
    <w:rsid w:val="00CE221F"/>
    <w:rPr>
      <w:rFonts w:ascii="Symbol" w:hAnsi="Symbol"/>
    </w:rPr>
  </w:style>
  <w:style w:type="character" w:customStyle="1" w:styleId="MenuOptions">
    <w:name w:val="Menu Options"/>
    <w:basedOn w:val="DefaultParagraphFont"/>
    <w:rsid w:val="00CE2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21F"/>
    <w:rPr>
      <w:b/>
    </w:rPr>
  </w:style>
  <w:style w:type="character" w:customStyle="1" w:styleId="Underlined">
    <w:name w:val="Underlined"/>
    <w:basedOn w:val="DefaultParagraphFont"/>
    <w:rsid w:val="00CE221F"/>
    <w:rPr>
      <w:u w:val="single"/>
    </w:rPr>
  </w:style>
  <w:style w:type="paragraph" w:customStyle="1" w:styleId="TableBodyTextRight">
    <w:name w:val="Table Body Text Right"/>
    <w:basedOn w:val="TableBodyText"/>
    <w:rsid w:val="00CE2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21F"/>
    <w:rPr>
      <w:sz w:val="18"/>
    </w:rPr>
  </w:style>
  <w:style w:type="paragraph" w:customStyle="1" w:styleId="BodySmallRight">
    <w:name w:val="Body Small Right"/>
    <w:basedOn w:val="BodyTextRight"/>
    <w:rsid w:val="00CE221F"/>
    <w:rPr>
      <w:sz w:val="18"/>
      <w:szCs w:val="18"/>
    </w:rPr>
  </w:style>
  <w:style w:type="paragraph" w:customStyle="1" w:styleId="MarginEdition">
    <w:name w:val="Margin Edition"/>
    <w:basedOn w:val="MarginNote"/>
    <w:rsid w:val="00CE2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21F"/>
    <w:rPr>
      <w:sz w:val="2"/>
      <w:szCs w:val="2"/>
    </w:rPr>
  </w:style>
  <w:style w:type="character" w:customStyle="1" w:styleId="Small">
    <w:name w:val="Small"/>
    <w:basedOn w:val="DefaultParagraphFont"/>
    <w:rsid w:val="00CE221F"/>
    <w:rPr>
      <w:sz w:val="16"/>
    </w:rPr>
  </w:style>
  <w:style w:type="paragraph" w:customStyle="1" w:styleId="WideTable">
    <w:name w:val="Wide Table"/>
    <w:basedOn w:val="Normal"/>
    <w:rsid w:val="00CE2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21F"/>
  </w:style>
  <w:style w:type="paragraph" w:styleId="Quote">
    <w:name w:val="Quote"/>
    <w:basedOn w:val="Heading1"/>
    <w:link w:val="QuoteChar"/>
    <w:qFormat/>
    <w:rsid w:val="00CE2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21F"/>
    <w:pPr>
      <w:pageBreakBefore/>
    </w:pPr>
  </w:style>
  <w:style w:type="paragraph" w:customStyle="1" w:styleId="Border">
    <w:name w:val="Border"/>
    <w:basedOn w:val="Normal"/>
    <w:qFormat/>
    <w:rsid w:val="00CE2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21F"/>
    <w:rPr>
      <w:u w:val="single"/>
    </w:rPr>
  </w:style>
  <w:style w:type="character" w:customStyle="1" w:styleId="BoldandItalics">
    <w:name w:val="Bold and Italics"/>
    <w:qFormat/>
    <w:rsid w:val="00CE221F"/>
    <w:rPr>
      <w:b/>
      <w:i/>
      <w:u w:val="none"/>
    </w:rPr>
  </w:style>
  <w:style w:type="paragraph" w:styleId="BalloonText">
    <w:name w:val="Balloon Text"/>
    <w:basedOn w:val="Normal"/>
    <w:link w:val="BalloonTextChar"/>
    <w:rsid w:val="00CE2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2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2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21F"/>
    <w:pPr>
      <w:spacing w:before="0" w:after="0"/>
    </w:pPr>
  </w:style>
  <w:style w:type="paragraph" w:customStyle="1" w:styleId="BodyTextBold">
    <w:name w:val="Body Text Bold"/>
    <w:basedOn w:val="BodyText"/>
    <w:qFormat/>
    <w:rsid w:val="00CE221F"/>
    <w:rPr>
      <w:b/>
    </w:rPr>
  </w:style>
  <w:style w:type="character" w:styleId="Hyperlink">
    <w:name w:val="Hyperlink"/>
    <w:basedOn w:val="DefaultParagraphFont"/>
    <w:uiPriority w:val="99"/>
    <w:unhideWhenUsed/>
    <w:rsid w:val="00287C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3357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ICPSCP2330 Manually prepare direct emulsion stencil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