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724" w:rsidP="00CD0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ICPPRP272 Produce gravure cylinders manually</w:t>
      </w:r>
      <w:r>
        <w:fldChar w:fldCharType="end"/>
      </w:r>
    </w:p>
    <w:p w:rsidR="00CD0724" w:rsidP="00CD0724">
      <w:pPr>
        <w:pStyle w:val="Version"/>
        <w:sectPr w:rsidSect="00FD5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207" w:rsidP="00FD5207">
      <w:pPr>
        <w:pStyle w:val="SuperHeading"/>
      </w:pPr>
      <w:r w:rsidRPr="00FD5207">
        <w:t>ICPPRP272 Produce gravure cylinders manually</w:t>
      </w:r>
    </w:p>
    <w:p w:rsidR="00000000" w:rsidRPr="00FD5207" w:rsidP="00FD5207">
      <w:pPr>
        <w:pStyle w:val="Heading1"/>
      </w:pPr>
      <w:bookmarkStart w:id="1" w:name="O_696501"/>
      <w:bookmarkEnd w:id="1"/>
      <w:r w:rsidRPr="00FD5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5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rPr>
                <w:rStyle w:val="SpecialBold"/>
              </w:rPr>
              <w:t>Comments</w:t>
            </w:r>
          </w:p>
        </w:tc>
      </w:tr>
      <w:tr w:rsidTr="00FD5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>This version first released with ICP Printing and Graphic Arts Training Package Version 1.0.</w:t>
            </w:r>
          </w:p>
        </w:tc>
      </w:tr>
    </w:tbl>
    <w:p w:rsidR="00000000" w:rsidRPr="00FD5207" w:rsidP="00FD5207">
      <w:pPr>
        <w:pStyle w:val="BodyText"/>
      </w:pPr>
    </w:p>
    <w:p w:rsidR="00000000" w:rsidRPr="00FD5207" w:rsidP="00FD5207">
      <w:pPr>
        <w:pStyle w:val="AllowPageBreak"/>
      </w:pPr>
    </w:p>
    <w:p w:rsidR="00000000" w:rsidRPr="00FD5207" w:rsidP="00FD5207">
      <w:pPr>
        <w:pStyle w:val="Heading1"/>
      </w:pPr>
      <w:bookmarkStart w:id="2" w:name="O_696502"/>
      <w:bookmarkEnd w:id="2"/>
      <w:r w:rsidRPr="00FD5207">
        <w:t>Application</w:t>
      </w:r>
    </w:p>
    <w:p w:rsidR="00000000" w:rsidRPr="00FD5207" w:rsidP="00CD0724">
      <w:pPr>
        <w:pStyle w:val="BodyText"/>
      </w:pPr>
      <w:r w:rsidRPr="00FD5207">
        <w:t>This unit describes the skills and knowledge required to manually make gravure cyli</w:t>
      </w:r>
      <w:r w:rsidRPr="00FD5207">
        <w:t>nders.</w:t>
      </w:r>
    </w:p>
    <w:p w:rsidR="00000000" w:rsidRPr="00FD5207" w:rsidP="00CD0724">
      <w:pPr>
        <w:pStyle w:val="BodyText"/>
      </w:pPr>
      <w:r w:rsidRPr="00FD5207">
        <w:t>It requires the individual to manually make gravure cylinders by planning, selecting, exposing and developing the plate, and establishing and maintaining a chemical register.</w:t>
      </w:r>
    </w:p>
    <w:p w:rsidR="00000000" w:rsidRPr="00FD5207" w:rsidP="00CD0724">
      <w:pPr>
        <w:pStyle w:val="BodyText"/>
      </w:pPr>
      <w:r w:rsidRPr="00FD5207">
        <w:t>No licensing, legislative or certification requirements apply to this un</w:t>
      </w:r>
      <w:r w:rsidRPr="00FD5207">
        <w:t>it at the time of publication.</w:t>
      </w:r>
    </w:p>
    <w:p w:rsidR="00000000" w:rsidRPr="00FD5207" w:rsidP="00FD5207">
      <w:pPr>
        <w:pStyle w:val="Heading1"/>
      </w:pPr>
      <w:bookmarkStart w:id="3" w:name="O_696505"/>
      <w:bookmarkEnd w:id="3"/>
      <w:r w:rsidRPr="00FD5207">
        <w:t>Unit Sector</w:t>
      </w:r>
    </w:p>
    <w:p w:rsidR="00000000" w:rsidRPr="00FD5207" w:rsidP="00CD0724">
      <w:pPr>
        <w:pStyle w:val="BodyText"/>
      </w:pPr>
      <w:r w:rsidRPr="00FD5207">
        <w:t>Pre-Press</w:t>
      </w:r>
    </w:p>
    <w:p w:rsidR="00000000" w:rsidRPr="00FD5207" w:rsidP="00FD5207">
      <w:pPr>
        <w:pStyle w:val="Heading1"/>
      </w:pPr>
      <w:bookmarkStart w:id="4" w:name="O_696506"/>
      <w:bookmarkEnd w:id="4"/>
      <w:r w:rsidRPr="00FD52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rPr>
                <w:rStyle w:val="SpecialBold"/>
              </w:rPr>
              <w:t>PERFORMANCE CRITERIA</w:t>
            </w:r>
          </w:p>
        </w:tc>
      </w:tr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1 Select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 xml:space="preserve">1.1 Job specifications are interpreted to determine the appropriate type of cylinder base and/or shell for the job </w:t>
            </w:r>
          </w:p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1.2 Cylinder and/or shell is</w:t>
            </w:r>
            <w:r w:rsidRPr="00FD5207">
              <w:t xml:space="preserve"> selected to deliver output</w:t>
            </w:r>
            <w:r w:rsidRPr="00FD5207">
              <w:rPr>
                <w:rStyle w:val="BoldandItalics"/>
              </w:rPr>
              <w:t xml:space="preserve"> </w:t>
            </w:r>
            <w:r w:rsidRPr="00FD5207">
              <w:t xml:space="preserve">quality required by the job brief </w:t>
            </w:r>
          </w:p>
        </w:tc>
      </w:tr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2 Pre-plan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>2.1 Work area is tidied and cleaned to ensure output quality</w:t>
            </w:r>
            <w:r w:rsidRPr="00FD5207">
              <w:rPr>
                <w:rStyle w:val="BoldandItalics"/>
              </w:rPr>
              <w:t xml:space="preserve"> </w:t>
            </w:r>
            <w:r w:rsidRPr="00FD5207">
              <w:t xml:space="preserve">and a safe worksite </w:t>
            </w:r>
          </w:p>
          <w:p w:rsidR="00000000" w:rsidRPr="00FD5207" w:rsidP="00FD5207">
            <w:pPr>
              <w:pStyle w:val="BodyText"/>
            </w:pPr>
            <w:r w:rsidRPr="00FD5207">
              <w:t>2.2 Exposure and coating equipment is maintained according to manufacturer’</w:t>
            </w:r>
            <w:r w:rsidRPr="00FD5207">
              <w:t xml:space="preserve">s specifications and safety requirements </w:t>
            </w:r>
          </w:p>
          <w:p w:rsidR="00000000" w:rsidRPr="00FD5207" w:rsidP="00FD5207">
            <w:pPr>
              <w:pStyle w:val="BodyText"/>
            </w:pPr>
            <w:r w:rsidRPr="00FD5207">
              <w:t xml:space="preserve">2.3 Exposure is controlled using step wedges and densitometry </w:t>
            </w:r>
          </w:p>
          <w:p w:rsidR="00000000" w:rsidRPr="00FD5207" w:rsidP="00FD5207">
            <w:pPr>
              <w:pStyle w:val="BodyText"/>
            </w:pPr>
            <w:r w:rsidRPr="00FD5207">
              <w:t xml:space="preserve">2.4 Cylinder is coated according to manufacturer’s specifications </w:t>
            </w:r>
          </w:p>
          <w:p w:rsidR="00000000" w:rsidRPr="00FD5207" w:rsidP="00FD5207">
            <w:pPr>
              <w:pStyle w:val="BodyText"/>
            </w:pPr>
            <w:r w:rsidRPr="00FD5207">
              <w:t>2.5 Cylinder is exposed making sure image direction, autotrons and tracker lines are</w:t>
            </w:r>
            <w:r w:rsidRPr="00FD5207">
              <w:t xml:space="preserve"> correctly positioned according to job specifications </w:t>
            </w:r>
          </w:p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 xml:space="preserve">2.6 Work health and safety (WHS) requirements are observed when handling chemicals </w:t>
            </w:r>
          </w:p>
        </w:tc>
      </w:tr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3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 xml:space="preserve">3.1 Chemical balance is checked and maintained in developing tank </w:t>
            </w:r>
          </w:p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3.2 Cylinder is developed accordin</w:t>
            </w:r>
            <w:r w:rsidRPr="00FD5207">
              <w:t xml:space="preserve">g to manufacturer’s specifications, enterprise procedures and safety requirements </w:t>
            </w:r>
          </w:p>
        </w:tc>
      </w:tr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4 Develop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 xml:space="preserve">4.1 Etching bath is maintained to correct activity level according to manufacturer’s specifications and enterprise procedures </w:t>
            </w:r>
          </w:p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4.2 Cylinder is etched accord</w:t>
            </w:r>
            <w:r w:rsidRPr="00FD5207">
              <w:t xml:space="preserve">ing to the job specifications (cell depth) </w:t>
            </w:r>
          </w:p>
        </w:tc>
      </w:tr>
      <w:tr w:rsidTr="00FD5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5 Finish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 xml:space="preserve">5.1 Establish a chemical register to identify and describe purpose of each chemical and ensure finished cylinders meet set specifications </w:t>
            </w:r>
          </w:p>
          <w:p w:rsidR="00000000" w:rsidRPr="00FD5207" w:rsidP="00FD5207">
            <w:pPr>
              <w:pStyle w:val="BodyText"/>
            </w:pPr>
            <w:r w:rsidRPr="00FD5207">
              <w:t>5.2 All chemicals used in the workplace are identified an</w:t>
            </w:r>
            <w:r w:rsidRPr="00FD5207">
              <w:t xml:space="preserve">d registered correctly according to safe working practices </w:t>
            </w:r>
          </w:p>
        </w:tc>
      </w:tr>
    </w:tbl>
    <w:p w:rsidR="00000000" w:rsidRPr="00FD5207" w:rsidP="00FD5207">
      <w:pPr>
        <w:pStyle w:val="BodyText"/>
      </w:pPr>
    </w:p>
    <w:p w:rsidR="00000000" w:rsidRPr="00FD5207" w:rsidP="00FD5207">
      <w:pPr>
        <w:pStyle w:val="AllowPageBreak"/>
      </w:pPr>
    </w:p>
    <w:p w:rsidR="00000000" w:rsidRPr="00FD5207" w:rsidP="00FD5207">
      <w:pPr>
        <w:pStyle w:val="Heading1"/>
      </w:pPr>
      <w:bookmarkStart w:id="5" w:name="O_696507"/>
      <w:bookmarkEnd w:id="5"/>
      <w:r w:rsidRPr="00FD5207">
        <w:t>Foundation Skills</w:t>
      </w:r>
    </w:p>
    <w:p w:rsidR="00000000" w:rsidRPr="00CD0724" w:rsidP="00CD0724">
      <w:pPr>
        <w:pStyle w:val="BodyText"/>
        <w:rPr>
          <w:i/>
        </w:rPr>
      </w:pPr>
      <w:r w:rsidRPr="00CD07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D5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rPr>
                <w:rStyle w:val="SpecialBold"/>
              </w:rPr>
              <w:t>Description</w:t>
            </w:r>
          </w:p>
        </w:tc>
      </w:tr>
      <w:tr w:rsidTr="00FD5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1.1, 2.2, 2.4, 2.5, 3.2, 4.1, 4.2, 5.1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ListBullet"/>
              <w:rPr>
                <w:lang w:val="en-NZ"/>
              </w:rPr>
            </w:pPr>
            <w:r w:rsidRPr="00FD5207">
              <w:t>Recognises and interprets text to establish job requirements from information contained within relevant procedures and specifications</w:t>
            </w:r>
          </w:p>
        </w:tc>
      </w:tr>
      <w:tr w:rsidTr="00FD5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ListBullet"/>
              <w:rPr>
                <w:lang w:val="en-NZ"/>
              </w:rPr>
            </w:pPr>
            <w:r w:rsidRPr="00FD5207">
              <w:t>Completes workplace records and forms accurately and legibly using correct technical and enterprise specific vocabulary</w:t>
            </w:r>
          </w:p>
        </w:tc>
      </w:tr>
      <w:tr w:rsidTr="00FD5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2.1, 2.2, 2.6, 3.2, 4.1, 5.1, 5.2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ListBullet"/>
              <w:rPr>
                <w:lang w:val="en-NZ"/>
              </w:rPr>
            </w:pPr>
            <w:r w:rsidRPr="00FD5207">
              <w:t>Complies with legislative requirements and follows organisational policie</w:t>
            </w:r>
            <w:r w:rsidRPr="00FD5207">
              <w:t>s and procedures relevant to own role</w:t>
            </w:r>
          </w:p>
        </w:tc>
      </w:tr>
      <w:tr w:rsidTr="00FD5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1.1, 1.2, 2.2, 2.4, 2.5, 3.1, 3.2, 4.1, 4.2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ListBullet"/>
            </w:pPr>
            <w:r w:rsidRPr="00FD5207">
              <w:t xml:space="preserve">Determines priorities and sequences steps involved in clearly defined, familiar tasks and identifies and assembles required resources </w:t>
            </w:r>
          </w:p>
          <w:p w:rsidR="00000000" w:rsidRPr="00FD5207" w:rsidP="00FD5207">
            <w:pPr>
              <w:pStyle w:val="ListBullet"/>
            </w:pPr>
            <w:r w:rsidRPr="00FD5207">
              <w:t>Takes responsibili</w:t>
            </w:r>
            <w:r w:rsidRPr="00FD5207">
              <w:t xml:space="preserve">ty for planning and organising own workload, identifying ways of sequencing and combining </w:t>
            </w:r>
            <w:r w:rsidRPr="00FD5207">
              <w:t xml:space="preserve">elements for greater efficiency </w:t>
            </w:r>
          </w:p>
          <w:p w:rsidR="00000000" w:rsidRPr="00FD5207" w:rsidP="00FD5207">
            <w:pPr>
              <w:pStyle w:val="ListBullet"/>
            </w:pPr>
            <w:r w:rsidRPr="00FD5207">
              <w:t>Initiates standard procedures when responding to familiar problems within immediate context</w:t>
            </w:r>
          </w:p>
        </w:tc>
      </w:tr>
    </w:tbl>
    <w:p w:rsidR="00000000" w:rsidRPr="00FD5207" w:rsidP="00FD5207">
      <w:pPr>
        <w:pStyle w:val="BodyText"/>
      </w:pPr>
    </w:p>
    <w:p w:rsidR="00000000" w:rsidRPr="00FD5207" w:rsidP="00FD5207">
      <w:pPr>
        <w:pStyle w:val="AllowPageBreak"/>
      </w:pPr>
    </w:p>
    <w:p w:rsidR="00000000" w:rsidRPr="00FD5207" w:rsidP="00FD5207">
      <w:pPr>
        <w:pStyle w:val="Heading1"/>
      </w:pPr>
      <w:bookmarkStart w:id="6" w:name="O_696509"/>
      <w:bookmarkEnd w:id="6"/>
      <w:r w:rsidRPr="00FD52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025"/>
        <w:gridCol w:w="2430"/>
      </w:tblGrid>
      <w:tr w:rsidTr="00FD5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 xml:space="preserve">Code and title </w:t>
            </w:r>
          </w:p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Code and title</w:t>
            </w:r>
          </w:p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previous version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rPr>
                <w:rStyle w:val="SpecialBold"/>
              </w:rPr>
              <w:t>Equivalence status</w:t>
            </w:r>
          </w:p>
        </w:tc>
      </w:tr>
      <w:tr w:rsidTr="00FD5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ICPPRP272 Produce gravure cylinders manually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ICPPP272C Produce gravure cylinders manually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>Equivalent unit</w:t>
            </w:r>
          </w:p>
        </w:tc>
      </w:tr>
    </w:tbl>
    <w:p w:rsidR="00000000" w:rsidRPr="00FD5207" w:rsidP="00FD5207">
      <w:pPr>
        <w:pStyle w:val="BodyText"/>
      </w:pPr>
    </w:p>
    <w:p w:rsidR="00000000" w:rsidRPr="00FD5207" w:rsidP="00FD5207">
      <w:pPr>
        <w:pStyle w:val="AllowPageBreak"/>
      </w:pPr>
    </w:p>
    <w:p w:rsidR="00000000" w:rsidRPr="00FD5207" w:rsidP="00FD5207">
      <w:pPr>
        <w:pStyle w:val="Heading1"/>
      </w:pPr>
      <w:bookmarkStart w:id="7" w:name="O_696516"/>
      <w:bookmarkEnd w:id="7"/>
      <w:r w:rsidRPr="00FD5207">
        <w:t>Links</w:t>
      </w:r>
    </w:p>
    <w:p w:rsidR="00000000" w:rsidRPr="00FD5207" w:rsidP="00CD0724">
      <w:pPr>
        <w:pStyle w:val="BodyText"/>
      </w:pPr>
      <w:r w:rsidRPr="00FD5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62EF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5207" w:rsidP="00CD0724">
      <w:pPr>
        <w:pStyle w:val="BodyText"/>
        <w:sectPr w:rsidSect="00FD52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207" w:rsidP="00FD5207">
      <w:pPr>
        <w:pStyle w:val="SuperHeading"/>
      </w:pPr>
      <w:r w:rsidRPr="00FD5207">
        <w:t xml:space="preserve">Assessment </w:t>
      </w:r>
      <w:r w:rsidRPr="00FD5207">
        <w:t>Requirements for ICPPRP272 Produce gravure cylinders manually</w:t>
      </w:r>
    </w:p>
    <w:p w:rsidR="00000000" w:rsidRPr="00FD5207" w:rsidP="00FD5207">
      <w:pPr>
        <w:pStyle w:val="Heading1"/>
      </w:pPr>
      <w:bookmarkStart w:id="8" w:name="O_696511"/>
      <w:bookmarkEnd w:id="8"/>
      <w:r w:rsidRPr="00FD5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5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rPr>
                <w:rStyle w:val="SpecialBold"/>
              </w:rPr>
              <w:t>Comments</w:t>
            </w:r>
          </w:p>
        </w:tc>
      </w:tr>
      <w:tr w:rsidTr="00FD5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07">
            <w:pPr>
              <w:pStyle w:val="BodyText"/>
              <w:rPr>
                <w:lang w:val="en-NZ"/>
              </w:rPr>
            </w:pPr>
            <w:r w:rsidRPr="00FD52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07" w:rsidP="00FD5207">
            <w:pPr>
              <w:pStyle w:val="BodyText"/>
            </w:pPr>
            <w:r w:rsidRPr="00FD5207">
              <w:t>This version first released with ICP Printing and Graphic Arts Training Package Version 1.0.</w:t>
            </w:r>
          </w:p>
        </w:tc>
      </w:tr>
    </w:tbl>
    <w:p w:rsidR="00000000" w:rsidRPr="00FD5207" w:rsidP="00FD5207">
      <w:pPr>
        <w:pStyle w:val="BodyText"/>
      </w:pPr>
    </w:p>
    <w:p w:rsidR="00000000" w:rsidRPr="00FD5207" w:rsidP="00FD5207">
      <w:pPr>
        <w:pStyle w:val="AllowPageBreak"/>
      </w:pPr>
    </w:p>
    <w:p w:rsidR="00000000" w:rsidRPr="00FD5207" w:rsidP="00FD5207">
      <w:pPr>
        <w:pStyle w:val="Heading1"/>
      </w:pPr>
      <w:bookmarkStart w:id="9" w:name="O_696512"/>
      <w:bookmarkEnd w:id="9"/>
      <w:r w:rsidRPr="00FD5207">
        <w:t>Performance Evidence</w:t>
      </w:r>
    </w:p>
    <w:p w:rsidR="00000000" w:rsidRPr="00FD5207" w:rsidP="00CD0724">
      <w:pPr>
        <w:pStyle w:val="BodyText"/>
      </w:pPr>
      <w:r w:rsidRPr="00FD5207">
        <w:t>Evidence of the ability to:</w:t>
      </w:r>
    </w:p>
    <w:p w:rsidR="00000000" w:rsidRPr="00FD5207" w:rsidP="00FD5207">
      <w:pPr>
        <w:pStyle w:val="ListBullet"/>
      </w:pPr>
      <w:r w:rsidRPr="00FD5207">
        <w:t>manually produce TWO gravure cylinders and establish and maintain a chemical register according to the listed performance criteria</w:t>
      </w:r>
    </w:p>
    <w:p w:rsidR="00000000" w:rsidRPr="00FD5207" w:rsidP="00FD5207">
      <w:pPr>
        <w:pStyle w:val="ListBullet"/>
      </w:pPr>
      <w:r w:rsidRPr="00FD5207">
        <w:t>safely and correctly process the cylinder to ensure etching produces a qual</w:t>
      </w:r>
      <w:r w:rsidRPr="00FD5207">
        <w:t>ity print</w:t>
      </w:r>
    </w:p>
    <w:p w:rsidR="00000000" w:rsidRPr="00FD5207" w:rsidP="00FD5207">
      <w:pPr>
        <w:pStyle w:val="ListBullet"/>
      </w:pPr>
      <w:r w:rsidRPr="00FD5207">
        <w:t>find and use information relevant to the task from a variety of information sources.</w:t>
      </w:r>
    </w:p>
    <w:p w:rsidR="00000000" w:rsidRPr="00FD5207" w:rsidP="00FD5207">
      <w:pPr>
        <w:pStyle w:val="BodyText"/>
      </w:pPr>
    </w:p>
    <w:p w:rsidR="00000000" w:rsidRPr="00FD5207" w:rsidP="00CD0724">
      <w:pPr>
        <w:pStyle w:val="BodyText"/>
      </w:pPr>
      <w:r w:rsidRPr="00FD5207">
        <w:t>Note: If a specific volume or frequency is not stated, then evidence must be provided at least once.</w:t>
      </w:r>
    </w:p>
    <w:p w:rsidR="00000000" w:rsidRPr="00FD5207" w:rsidP="00FD5207">
      <w:pPr>
        <w:pStyle w:val="Heading1"/>
      </w:pPr>
      <w:bookmarkStart w:id="10" w:name="O_696513"/>
      <w:bookmarkEnd w:id="10"/>
      <w:r w:rsidRPr="00FD5207">
        <w:t>Knowledge Evidence</w:t>
      </w:r>
    </w:p>
    <w:p w:rsidR="00000000" w:rsidRPr="00FD5207" w:rsidP="00CD0724">
      <w:pPr>
        <w:pStyle w:val="BodyText"/>
      </w:pPr>
      <w:r w:rsidRPr="00FD5207">
        <w:t>To complete the unit re</w:t>
      </w:r>
      <w:r w:rsidRPr="00FD5207">
        <w:t>quirements safely and effectively, the individual must:</w:t>
      </w:r>
    </w:p>
    <w:p w:rsidR="00000000" w:rsidRPr="00FD5207" w:rsidP="00FD5207">
      <w:pPr>
        <w:pStyle w:val="ListBullet"/>
      </w:pPr>
      <w:r w:rsidRPr="00FD5207">
        <w:t>state chemical names and symbols for three chemicals used in cylinder production</w:t>
      </w:r>
    </w:p>
    <w:p w:rsidR="00000000" w:rsidRPr="00FD5207" w:rsidP="00FD5207">
      <w:pPr>
        <w:pStyle w:val="ListBullet"/>
      </w:pPr>
      <w:r w:rsidRPr="00FD5207">
        <w:t>describe standard safety procedures used when handling gravure chemicals</w:t>
      </w:r>
    </w:p>
    <w:p w:rsidR="00000000" w:rsidRPr="00FD5207" w:rsidP="00FD5207">
      <w:pPr>
        <w:pStyle w:val="ListBullet"/>
      </w:pPr>
      <w:r w:rsidRPr="00FD5207">
        <w:t>describe two methods of manual gravure cylinder production</w:t>
      </w:r>
    </w:p>
    <w:p w:rsidR="00000000" w:rsidRPr="00FD5207" w:rsidP="00FD5207">
      <w:pPr>
        <w:pStyle w:val="ListBullet"/>
      </w:pPr>
      <w:r w:rsidRPr="00FD5207">
        <w:t>explain cylinder balancing and how it is achieved</w:t>
      </w:r>
    </w:p>
    <w:p w:rsidR="00000000" w:rsidRPr="00FD5207" w:rsidP="00FD5207">
      <w:pPr>
        <w:pStyle w:val="ListBullet"/>
      </w:pPr>
      <w:r w:rsidRPr="00FD5207">
        <w:t>outline preparation processes for both steel and aluminium cylinder bases</w:t>
      </w:r>
    </w:p>
    <w:p w:rsidR="00000000" w:rsidRPr="00FD5207" w:rsidP="00FD5207">
      <w:pPr>
        <w:pStyle w:val="ListBullet"/>
      </w:pPr>
      <w:r w:rsidRPr="00FD5207">
        <w:t>explain Blue Print and how it is produced</w:t>
      </w:r>
    </w:p>
    <w:p w:rsidR="00000000" w:rsidRPr="00FD5207" w:rsidP="00FD5207">
      <w:pPr>
        <w:pStyle w:val="ListBullet"/>
      </w:pPr>
      <w:r w:rsidRPr="00FD5207">
        <w:t xml:space="preserve">outline Direct Transfer method </w:t>
      </w:r>
      <w:r w:rsidRPr="00FD5207">
        <w:t>of cylinder production</w:t>
      </w:r>
    </w:p>
    <w:p w:rsidR="00000000" w:rsidRPr="00FD5207" w:rsidP="00FD5207">
      <w:pPr>
        <w:pStyle w:val="ListBullet"/>
      </w:pPr>
      <w:r w:rsidRPr="00FD5207">
        <w:t xml:space="preserve">explain how cell depth is determined </w:t>
      </w:r>
    </w:p>
    <w:p w:rsidR="00000000" w:rsidRPr="00FD5207" w:rsidP="00FD5207">
      <w:pPr>
        <w:pStyle w:val="ListBullet"/>
      </w:pPr>
      <w:r w:rsidRPr="00FD5207">
        <w:t xml:space="preserve">identify etching solution chemical </w:t>
      </w:r>
    </w:p>
    <w:p w:rsidR="00000000" w:rsidRPr="00FD5207" w:rsidP="00FD5207">
      <w:pPr>
        <w:pStyle w:val="ListBullet"/>
      </w:pPr>
      <w:r w:rsidRPr="00FD5207">
        <w:t>state thickness of chrome coating on the etched surface</w:t>
      </w:r>
    </w:p>
    <w:p w:rsidR="00000000" w:rsidRPr="00FD5207" w:rsidP="00FD5207">
      <w:pPr>
        <w:pStyle w:val="ListBullet"/>
      </w:pPr>
      <w:r w:rsidRPr="00FD5207">
        <w:t>outline factors that govern rate of etch</w:t>
      </w:r>
    </w:p>
    <w:p w:rsidR="00000000" w:rsidRPr="00FD5207" w:rsidP="00FD5207">
      <w:pPr>
        <w:pStyle w:val="ListBullet"/>
      </w:pPr>
      <w:r w:rsidRPr="00FD5207">
        <w:t xml:space="preserve">list manuals, safety and other documentation relevant to this </w:t>
      </w:r>
      <w:r w:rsidRPr="00FD5207">
        <w:t>task, identify where are they kept and what information is included.</w:t>
      </w:r>
    </w:p>
    <w:p w:rsidR="00000000" w:rsidRPr="00FD5207" w:rsidP="00FD5207">
      <w:pPr>
        <w:pStyle w:val="AllowPageBreak"/>
      </w:pPr>
    </w:p>
    <w:p w:rsidR="00000000" w:rsidRPr="00FD5207" w:rsidP="00FD5207">
      <w:pPr>
        <w:pStyle w:val="Heading1"/>
      </w:pPr>
      <w:bookmarkStart w:id="11" w:name="O_696514"/>
      <w:bookmarkEnd w:id="11"/>
      <w:r w:rsidRPr="00FD5207">
        <w:t>Assessment Conditions</w:t>
      </w:r>
    </w:p>
    <w:p w:rsidR="00000000" w:rsidRPr="00FD5207" w:rsidP="00CD0724">
      <w:pPr>
        <w:pStyle w:val="BodyText"/>
      </w:pPr>
      <w:r w:rsidRPr="00FD5207">
        <w:t>Gather evidence to demonstrate consistent performance in conditions that are safe and replicate the workplace. Noise levels, production flow, interr</w:t>
      </w:r>
      <w:r w:rsidRPr="00FD5207">
        <w:t>uptions and time variances must be typical of those experienced in the Pre-Press field of work and include access to special purpose tools, equipment and industry software packages.</w:t>
      </w:r>
    </w:p>
    <w:p w:rsidR="00000000" w:rsidRPr="00FD5207" w:rsidP="00CD0724">
      <w:pPr>
        <w:pStyle w:val="BodyText"/>
      </w:pPr>
      <w:r w:rsidRPr="00FD5207">
        <w:t>Assessors must satisfy NVR/AQTF assessor requirements.</w:t>
      </w:r>
    </w:p>
    <w:p w:rsidR="00000000" w:rsidRPr="00FD5207" w:rsidP="00FD5207">
      <w:pPr>
        <w:pStyle w:val="Heading1"/>
      </w:pPr>
      <w:bookmarkStart w:id="12" w:name="O_696517"/>
      <w:bookmarkEnd w:id="12"/>
      <w:r w:rsidRPr="00FD5207">
        <w:t>L</w:t>
      </w:r>
      <w:r w:rsidRPr="00FD5207">
        <w:t>inks</w:t>
      </w:r>
    </w:p>
    <w:p w:rsidR="00000000" w:rsidRPr="00FD5207" w:rsidP="00CD0724">
      <w:pPr>
        <w:pStyle w:val="BodyText"/>
      </w:pPr>
      <w:r w:rsidRPr="00FD5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62EF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5207" w:rsidP="00FD5207"/>
    <w:sectPr w:rsidSect="00FD52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 w:rsidRPr="00CD0724" w:rsidP="00CD0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24" w:rsidP="00FD5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724" w:rsidP="00FD5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0724" w:rsidP="00FD52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 w:rsidP="00FD5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0724">
      <w:t>Approved</w:t>
    </w:r>
    <w:r w:rsidR="00CD07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07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0724">
      <w:rPr>
        <w:noProof/>
      </w:rPr>
      <w:t>4</w:t>
    </w:r>
    <w:r>
      <w:rPr>
        <w:noProof/>
      </w:rPr>
      <w:fldChar w:fldCharType="end"/>
    </w:r>
  </w:p>
  <w:p w:rsidR="00FD5207" w:rsidP="00FD5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07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0724">
      <w:t>Manufacturing Industry Skills Alliance</w:t>
    </w:r>
    <w:r w:rsidR="00CD0724">
      <w:fldChar w:fldCharType="end"/>
    </w:r>
  </w:p>
  <w:p w:rsidR="00FD5207" w:rsidP="00FD5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207" w:rsidRPr="00CD0724" w:rsidP="00CD0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24" w:rsidRPr="002D2AF8" w:rsidP="00FD5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ICPPRP272 Produce gravure cylinders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0724" w:rsidP="00FD52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07" w:rsidRPr="002D2AF8" w:rsidP="00FD5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0724">
      <w:t>ICPPRP272 Produce gravure cylinders manually</w:t>
    </w:r>
    <w:r w:rsidR="00CD07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0724">
      <w:rPr>
        <w:noProof/>
      </w:rPr>
      <w:t>2 March 2025</w:t>
    </w:r>
    <w:r>
      <w:fldChar w:fldCharType="end"/>
    </w:r>
  </w:p>
  <w:p w:rsidR="00FD5207" w:rsidP="00FD5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69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16F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207"/>
  </w:style>
  <w:style w:type="character" w:customStyle="1" w:styleId="Heading1Char">
    <w:name w:val="Heading 1 Char"/>
    <w:basedOn w:val="DefaultParagraphFont"/>
    <w:link w:val="Heading1"/>
    <w:rsid w:val="00FD5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2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207"/>
    <w:rPr>
      <w:b/>
      <w:spacing w:val="0"/>
    </w:rPr>
  </w:style>
  <w:style w:type="character" w:styleId="Emphasis">
    <w:name w:val="Emphasis"/>
    <w:basedOn w:val="DefaultParagraphFont"/>
    <w:qFormat/>
    <w:rsid w:val="00FD5207"/>
    <w:rPr>
      <w:i/>
    </w:rPr>
  </w:style>
  <w:style w:type="paragraph" w:customStyle="1" w:styleId="SuperHeading">
    <w:name w:val="SuperHeading"/>
    <w:basedOn w:val="Normal"/>
    <w:rsid w:val="00FD5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D52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5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207"/>
  </w:style>
  <w:style w:type="paragraph" w:styleId="TableofFigures">
    <w:name w:val="table of figures"/>
    <w:basedOn w:val="Normal"/>
    <w:next w:val="Normal"/>
    <w:semiHidden/>
    <w:rsid w:val="00FD5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207"/>
    <w:rPr>
      <w:rFonts w:ascii="Wingdings" w:hAnsi="Wingdings"/>
    </w:rPr>
  </w:style>
  <w:style w:type="paragraph" w:customStyle="1" w:styleId="TableHeading">
    <w:name w:val="Table Heading"/>
    <w:basedOn w:val="HeadingBase"/>
    <w:rsid w:val="00FD5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207"/>
    <w:rPr>
      <w:color w:val="0033CC"/>
      <w:u w:val="none"/>
    </w:rPr>
  </w:style>
  <w:style w:type="paragraph" w:customStyle="1" w:styleId="BodyTextRight">
    <w:name w:val="Body Text Right"/>
    <w:basedOn w:val="BodyText"/>
    <w:rsid w:val="00FD5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207"/>
    <w:rPr>
      <w:sz w:val="32"/>
    </w:rPr>
  </w:style>
  <w:style w:type="paragraph" w:customStyle="1" w:styleId="HeadingProcedure">
    <w:name w:val="Heading Procedure"/>
    <w:basedOn w:val="HeadingBase"/>
    <w:next w:val="Normal"/>
    <w:rsid w:val="00FD5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207"/>
    <w:pPr>
      <w:spacing w:before="60" w:after="60"/>
    </w:pPr>
  </w:style>
  <w:style w:type="paragraph" w:styleId="ListContinue">
    <w:name w:val="List Continue"/>
    <w:basedOn w:val="List"/>
    <w:rsid w:val="00FD5207"/>
    <w:pPr>
      <w:ind w:firstLine="0"/>
    </w:pPr>
  </w:style>
  <w:style w:type="paragraph" w:customStyle="1" w:styleId="ListNote">
    <w:name w:val="List Note"/>
    <w:basedOn w:val="List"/>
    <w:rsid w:val="00FD5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207"/>
    <w:rPr>
      <w:rFonts w:ascii="Courier New" w:hAnsi="Courier New"/>
    </w:rPr>
  </w:style>
  <w:style w:type="paragraph" w:customStyle="1" w:styleId="NoteBullet">
    <w:name w:val="Note Bullet"/>
    <w:basedOn w:val="Note"/>
    <w:rsid w:val="00FD5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207"/>
    <w:rPr>
      <w:b/>
      <w:smallCaps/>
    </w:rPr>
  </w:style>
  <w:style w:type="paragraph" w:customStyle="1" w:styleId="TableListNumber">
    <w:name w:val="Table List Number"/>
    <w:basedOn w:val="ListNumber"/>
    <w:rsid w:val="00FD5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207"/>
    <w:pPr>
      <w:numPr>
        <w:numId w:val="8"/>
      </w:numPr>
    </w:pPr>
  </w:style>
  <w:style w:type="paragraph" w:customStyle="1" w:styleId="ListAlpha2">
    <w:name w:val="List Alpha 2"/>
    <w:basedOn w:val="List2"/>
    <w:rsid w:val="00FD5207"/>
    <w:pPr>
      <w:numPr>
        <w:numId w:val="7"/>
      </w:numPr>
    </w:pPr>
  </w:style>
  <w:style w:type="paragraph" w:styleId="List2">
    <w:name w:val="List 2"/>
    <w:basedOn w:val="BodyText"/>
    <w:rsid w:val="00FD5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207"/>
    <w:pPr>
      <w:numPr>
        <w:numId w:val="3"/>
      </w:numPr>
    </w:pPr>
  </w:style>
  <w:style w:type="paragraph" w:styleId="ListContinue2">
    <w:name w:val="List Continue 2"/>
    <w:basedOn w:val="List2"/>
    <w:rsid w:val="00FD5207"/>
    <w:pPr>
      <w:ind w:firstLine="0"/>
    </w:pPr>
  </w:style>
  <w:style w:type="paragraph" w:styleId="ListContinue3">
    <w:name w:val="List Continue 3"/>
    <w:basedOn w:val="List3"/>
    <w:rsid w:val="00FD5207"/>
    <w:pPr>
      <w:ind w:left="1021" w:firstLine="0"/>
    </w:pPr>
  </w:style>
  <w:style w:type="paragraph" w:styleId="ListContinue4">
    <w:name w:val="List Continue 4"/>
    <w:basedOn w:val="List4"/>
    <w:rsid w:val="00FD5207"/>
    <w:pPr>
      <w:ind w:firstLine="0"/>
    </w:pPr>
  </w:style>
  <w:style w:type="paragraph" w:styleId="ListContinue5">
    <w:name w:val="List Continue 5"/>
    <w:basedOn w:val="List5"/>
    <w:rsid w:val="00FD5207"/>
    <w:pPr>
      <w:ind w:firstLine="0"/>
    </w:pPr>
  </w:style>
  <w:style w:type="paragraph" w:styleId="ListNumber3">
    <w:name w:val="List Number 3"/>
    <w:basedOn w:val="List3"/>
    <w:rsid w:val="00FD5207"/>
    <w:pPr>
      <w:numPr>
        <w:numId w:val="4"/>
      </w:numPr>
    </w:pPr>
  </w:style>
  <w:style w:type="paragraph" w:styleId="ListNumber4">
    <w:name w:val="List Number 4"/>
    <w:basedOn w:val="List4"/>
    <w:rsid w:val="00FD5207"/>
    <w:pPr>
      <w:numPr>
        <w:numId w:val="5"/>
      </w:numPr>
    </w:pPr>
  </w:style>
  <w:style w:type="paragraph" w:styleId="ListNumber5">
    <w:name w:val="List Number 5"/>
    <w:basedOn w:val="List5"/>
    <w:rsid w:val="00FD5207"/>
    <w:pPr>
      <w:numPr>
        <w:numId w:val="6"/>
      </w:numPr>
    </w:pPr>
  </w:style>
  <w:style w:type="paragraph" w:styleId="BlockText">
    <w:name w:val="Block Text"/>
    <w:basedOn w:val="Normal"/>
    <w:rsid w:val="00FD5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207"/>
    <w:rPr>
      <w:sz w:val="16"/>
      <w:vertAlign w:val="superscript"/>
    </w:rPr>
  </w:style>
  <w:style w:type="character" w:customStyle="1" w:styleId="Symbols">
    <w:name w:val="Symbols"/>
    <w:basedOn w:val="DefaultParagraphFont"/>
    <w:rsid w:val="00FD5207"/>
    <w:rPr>
      <w:rFonts w:ascii="Symbol" w:hAnsi="Symbol"/>
    </w:rPr>
  </w:style>
  <w:style w:type="character" w:customStyle="1" w:styleId="MenuOptions">
    <w:name w:val="Menu Options"/>
    <w:basedOn w:val="DefaultParagraphFont"/>
    <w:rsid w:val="00FD5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207"/>
    <w:rPr>
      <w:b/>
    </w:rPr>
  </w:style>
  <w:style w:type="character" w:customStyle="1" w:styleId="Underlined">
    <w:name w:val="Underlined"/>
    <w:basedOn w:val="DefaultParagraphFont"/>
    <w:rsid w:val="00FD5207"/>
    <w:rPr>
      <w:u w:val="single"/>
    </w:rPr>
  </w:style>
  <w:style w:type="paragraph" w:customStyle="1" w:styleId="TableBodyTextRight">
    <w:name w:val="Table Body Text Right"/>
    <w:basedOn w:val="TableBodyText"/>
    <w:rsid w:val="00FD5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207"/>
    <w:rPr>
      <w:sz w:val="18"/>
    </w:rPr>
  </w:style>
  <w:style w:type="paragraph" w:customStyle="1" w:styleId="BodySmallRight">
    <w:name w:val="Body Small Right"/>
    <w:basedOn w:val="BodyTextRight"/>
    <w:rsid w:val="00FD5207"/>
    <w:rPr>
      <w:sz w:val="18"/>
      <w:szCs w:val="18"/>
    </w:rPr>
  </w:style>
  <w:style w:type="paragraph" w:customStyle="1" w:styleId="MarginEdition">
    <w:name w:val="Margin Edition"/>
    <w:basedOn w:val="MarginNote"/>
    <w:rsid w:val="00FD5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207"/>
    <w:rPr>
      <w:sz w:val="2"/>
      <w:szCs w:val="2"/>
    </w:rPr>
  </w:style>
  <w:style w:type="character" w:customStyle="1" w:styleId="Small">
    <w:name w:val="Small"/>
    <w:basedOn w:val="DefaultParagraphFont"/>
    <w:rsid w:val="00FD5207"/>
    <w:rPr>
      <w:sz w:val="16"/>
    </w:rPr>
  </w:style>
  <w:style w:type="paragraph" w:customStyle="1" w:styleId="WideTable">
    <w:name w:val="Wide Table"/>
    <w:basedOn w:val="Normal"/>
    <w:rsid w:val="00FD5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207"/>
  </w:style>
  <w:style w:type="paragraph" w:styleId="Quote">
    <w:name w:val="Quote"/>
    <w:basedOn w:val="Heading1"/>
    <w:link w:val="QuoteChar"/>
    <w:qFormat/>
    <w:rsid w:val="00FD5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207"/>
    <w:pPr>
      <w:pageBreakBefore/>
    </w:pPr>
  </w:style>
  <w:style w:type="paragraph" w:customStyle="1" w:styleId="Border">
    <w:name w:val="Border"/>
    <w:basedOn w:val="Normal"/>
    <w:qFormat/>
    <w:rsid w:val="00FD5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207"/>
    <w:rPr>
      <w:u w:val="single"/>
    </w:rPr>
  </w:style>
  <w:style w:type="paragraph" w:styleId="BalloonText">
    <w:name w:val="Balloon Text"/>
    <w:basedOn w:val="Normal"/>
    <w:link w:val="BalloonTextChar"/>
    <w:rsid w:val="00FD5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207"/>
    <w:pPr>
      <w:spacing w:before="0" w:after="0"/>
    </w:pPr>
  </w:style>
  <w:style w:type="paragraph" w:customStyle="1" w:styleId="BodyTextBold">
    <w:name w:val="Body Text Bold"/>
    <w:basedOn w:val="BodyText"/>
    <w:qFormat/>
    <w:rsid w:val="00FD5207"/>
    <w:rPr>
      <w:b/>
    </w:rPr>
  </w:style>
  <w:style w:type="character" w:styleId="Hyperlink">
    <w:name w:val="Hyperlink"/>
    <w:basedOn w:val="DefaultParagraphFont"/>
    <w:uiPriority w:val="99"/>
    <w:unhideWhenUsed/>
    <w:rsid w:val="00CD0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5395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ICPPRP272 Produce gravure cylinders manually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