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3939" w:rsidP="00F339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ICPPRP2680 Produce flexographic photopolymer plates</w:t>
      </w:r>
      <w:r>
        <w:fldChar w:fldCharType="end"/>
      </w:r>
    </w:p>
    <w:p w:rsidR="00F33939" w:rsidP="00F33939">
      <w:pPr>
        <w:pStyle w:val="Version"/>
        <w:sectPr w:rsidSect="00CD5C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5CF0" w:rsidP="00CD5CF0">
      <w:pPr>
        <w:pStyle w:val="SuperHeading"/>
      </w:pPr>
      <w:r w:rsidRPr="00CD5CF0">
        <w:t>Assessment Re</w:t>
      </w:r>
      <w:r w:rsidRPr="00CD5CF0">
        <w:t>quirements for ICPPRP2680 Produce flexographic photopolymer plates</w:t>
      </w:r>
    </w:p>
    <w:p w:rsidR="00000000" w:rsidRPr="00CD5CF0" w:rsidP="00CD5CF0">
      <w:pPr>
        <w:pStyle w:val="Heading1"/>
      </w:pPr>
      <w:bookmarkStart w:id="1" w:name="O_1070098"/>
      <w:bookmarkEnd w:id="1"/>
      <w:r w:rsidRPr="00CD5C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D5C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CF0" w:rsidP="00CD5CF0">
            <w:pPr>
              <w:pStyle w:val="BodyText"/>
            </w:pPr>
            <w:r w:rsidRPr="00CD5CF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CF0">
            <w:pPr>
              <w:pStyle w:val="BodyText"/>
              <w:rPr>
                <w:lang w:val="en-NZ"/>
              </w:rPr>
            </w:pPr>
            <w:r w:rsidRPr="00CD5CF0">
              <w:rPr>
                <w:rStyle w:val="SpecialBold"/>
              </w:rPr>
              <w:t>Comments</w:t>
            </w:r>
          </w:p>
        </w:tc>
      </w:tr>
      <w:tr w:rsidTr="00CD5C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CF0">
            <w:pPr>
              <w:pStyle w:val="BodyText"/>
              <w:rPr>
                <w:lang w:val="en-NZ"/>
              </w:rPr>
            </w:pPr>
            <w:r w:rsidRPr="00CD5CF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CF0" w:rsidP="00CD5CF0">
            <w:pPr>
              <w:pStyle w:val="BodyText"/>
            </w:pPr>
            <w:r w:rsidRPr="00CD5CF0">
              <w:t>This version first released with ICP Printing and Graphic Arts Training Package Version 4.0.</w:t>
            </w:r>
          </w:p>
        </w:tc>
      </w:tr>
    </w:tbl>
    <w:p w:rsidR="00000000" w:rsidRPr="00CD5CF0" w:rsidP="00CD5CF0">
      <w:pPr>
        <w:pStyle w:val="BodyText"/>
      </w:pPr>
    </w:p>
    <w:p w:rsidR="00000000" w:rsidRPr="00CD5CF0" w:rsidP="00CD5CF0">
      <w:pPr>
        <w:pStyle w:val="AllowPageBreak"/>
      </w:pPr>
    </w:p>
    <w:p w:rsidR="00000000" w:rsidRPr="00CD5CF0" w:rsidP="00CD5CF0">
      <w:pPr>
        <w:pStyle w:val="Heading1"/>
      </w:pPr>
      <w:bookmarkStart w:id="2" w:name="O_1070101"/>
      <w:bookmarkEnd w:id="2"/>
      <w:r w:rsidRPr="00CD5CF0">
        <w:t>Performance Evidence</w:t>
      </w:r>
    </w:p>
    <w:p w:rsidR="00000000" w:rsidRPr="00CD5CF0" w:rsidP="00F33939">
      <w:pPr>
        <w:pStyle w:val="BodyText"/>
      </w:pPr>
      <w:r w:rsidRPr="00CD5CF0">
        <w:t>The candidate must demonstrate the ability to complete the tasks outlined in the elements, performance criteria and foundation skills of the unit, including evidence of the ability to:</w:t>
      </w:r>
    </w:p>
    <w:p w:rsidR="00000000" w:rsidRPr="00CD5CF0" w:rsidP="00CD5CF0">
      <w:pPr>
        <w:pStyle w:val="ListBullet"/>
      </w:pPr>
      <w:r w:rsidRPr="00CD5CF0">
        <w:t>produce two flexographic plates with different ch</w:t>
      </w:r>
      <w:r w:rsidRPr="00CD5CF0">
        <w:t>aracteristics.</w:t>
      </w:r>
    </w:p>
    <w:p w:rsidR="00000000" w:rsidRPr="00CD5CF0" w:rsidP="00CD5CF0">
      <w:pPr>
        <w:pStyle w:val="BodyText"/>
      </w:pPr>
    </w:p>
    <w:p w:rsidR="00000000" w:rsidRPr="00CD5CF0" w:rsidP="00F33939">
      <w:pPr>
        <w:pStyle w:val="BodyText"/>
      </w:pPr>
      <w:r w:rsidRPr="00CD5CF0">
        <w:t>In the course of the above, the candidate must:</w:t>
      </w:r>
    </w:p>
    <w:p w:rsidR="00000000" w:rsidRPr="00CD5CF0" w:rsidP="00CD5CF0">
      <w:pPr>
        <w:pStyle w:val="ListBullet"/>
      </w:pPr>
      <w:r w:rsidRPr="00CD5CF0">
        <w:t>identify the substrate for reproduction and ensure plate quality is fit for the identified printing processes.</w:t>
      </w:r>
    </w:p>
    <w:p w:rsidR="00000000" w:rsidRPr="00CD5CF0" w:rsidP="00CD5CF0">
      <w:pPr>
        <w:pStyle w:val="AllowPageBreak"/>
      </w:pPr>
    </w:p>
    <w:p w:rsidR="00000000" w:rsidRPr="00CD5CF0" w:rsidP="00CD5CF0">
      <w:pPr>
        <w:pStyle w:val="Heading1"/>
      </w:pPr>
      <w:bookmarkStart w:id="3" w:name="O_1070100"/>
      <w:bookmarkEnd w:id="3"/>
      <w:r w:rsidRPr="00CD5CF0">
        <w:t>Knowledge Evidence</w:t>
      </w:r>
    </w:p>
    <w:p w:rsidR="00000000" w:rsidRPr="00CD5CF0" w:rsidP="00F33939">
      <w:pPr>
        <w:pStyle w:val="BodyText"/>
      </w:pPr>
      <w:r w:rsidRPr="00CD5CF0">
        <w:t>The candidate must be able to demonstrate knowledge to complete the tasks outlined in the elements, performance criteria and foundation skills of this unit, including knowledge of:</w:t>
      </w:r>
    </w:p>
    <w:p w:rsidR="00000000" w:rsidRPr="00CD5CF0" w:rsidP="00CD5CF0">
      <w:pPr>
        <w:pStyle w:val="ListBullet"/>
      </w:pPr>
      <w:r w:rsidRPr="00CD5CF0">
        <w:t>the effect flexographic ink has on selection of plate material</w:t>
      </w:r>
    </w:p>
    <w:p w:rsidR="00000000" w:rsidRPr="00CD5CF0" w:rsidP="00CD5CF0">
      <w:pPr>
        <w:pStyle w:val="ListBullet"/>
      </w:pPr>
      <w:r w:rsidRPr="00CD5CF0">
        <w:t>quality con</w:t>
      </w:r>
      <w:r w:rsidRPr="00CD5CF0">
        <w:t>trol devices used in the exposure and development process</w:t>
      </w:r>
    </w:p>
    <w:p w:rsidR="00000000" w:rsidRPr="00CD5CF0" w:rsidP="00CD5CF0">
      <w:pPr>
        <w:pStyle w:val="ListBullet"/>
      </w:pPr>
      <w:r w:rsidRPr="00CD5CF0">
        <w:t>computer-to-plate (CTP) processes and their differences with traditional film-to-plate</w:t>
      </w:r>
    </w:p>
    <w:p w:rsidR="00000000" w:rsidRPr="00CD5CF0" w:rsidP="00CD5CF0">
      <w:pPr>
        <w:pStyle w:val="ListBullet"/>
      </w:pPr>
      <w:r w:rsidRPr="00CD5CF0">
        <w:t>industry-standard software and hardware for producing plates from digital inputs</w:t>
      </w:r>
    </w:p>
    <w:p w:rsidR="00000000" w:rsidRPr="00CD5CF0" w:rsidP="00CD5CF0">
      <w:pPr>
        <w:pStyle w:val="ListBullet"/>
      </w:pPr>
      <w:r w:rsidRPr="00CD5CF0">
        <w:t>the effect of ‘shoulder’ on th</w:t>
      </w:r>
      <w:r w:rsidRPr="00CD5CF0">
        <w:t>e printing process</w:t>
      </w:r>
    </w:p>
    <w:p w:rsidR="00000000" w:rsidRPr="00CD5CF0" w:rsidP="00CD5CF0">
      <w:pPr>
        <w:pStyle w:val="ListBullet"/>
      </w:pPr>
      <w:r w:rsidRPr="00CD5CF0">
        <w:t>methods of overcoming ‘orange peel effect’</w:t>
      </w:r>
    </w:p>
    <w:p w:rsidR="00000000" w:rsidRPr="00CD5CF0" w:rsidP="00CD5CF0">
      <w:pPr>
        <w:pStyle w:val="ListBullet"/>
      </w:pPr>
      <w:r w:rsidRPr="00CD5CF0">
        <w:t>effects of chemicals used in detaching</w:t>
      </w:r>
    </w:p>
    <w:p w:rsidR="00000000" w:rsidRPr="00CD5CF0" w:rsidP="00CD5CF0">
      <w:pPr>
        <w:pStyle w:val="ListBullet"/>
      </w:pPr>
      <w:r w:rsidRPr="00CD5CF0">
        <w:t>methods to counteract image elongation</w:t>
      </w:r>
    </w:p>
    <w:p w:rsidR="00000000" w:rsidRPr="00CD5CF0" w:rsidP="00CD5CF0">
      <w:pPr>
        <w:pStyle w:val="ListBullet"/>
      </w:pPr>
      <w:r w:rsidRPr="00CD5CF0">
        <w:t>properties of poor plate processing and how to avoid it</w:t>
      </w:r>
    </w:p>
    <w:p w:rsidR="00000000" w:rsidRPr="00CD5CF0" w:rsidP="00CD5CF0">
      <w:pPr>
        <w:pStyle w:val="ListBullet"/>
      </w:pPr>
      <w:r w:rsidRPr="00CD5CF0">
        <w:t>the criteria for plate proof evaluation</w:t>
      </w:r>
    </w:p>
    <w:p w:rsidR="00000000" w:rsidRPr="00CD5CF0" w:rsidP="00CD5CF0">
      <w:pPr>
        <w:pStyle w:val="ListBullet"/>
      </w:pPr>
      <w:r w:rsidRPr="00CD5CF0">
        <w:t xml:space="preserve">the work health and </w:t>
      </w:r>
      <w:r w:rsidRPr="00CD5CF0">
        <w:t>safety (WHS) requirements for working with photopolymer plates and chemicals</w:t>
      </w:r>
    </w:p>
    <w:p w:rsidR="00000000" w:rsidRPr="00CD5CF0" w:rsidP="00CD5CF0">
      <w:pPr>
        <w:pStyle w:val="ListBullet"/>
      </w:pPr>
      <w:r w:rsidRPr="00CD5CF0">
        <w:t>manuals, and work health and safety documentation, including their location and purpose.</w:t>
      </w:r>
    </w:p>
    <w:p w:rsidR="00000000" w:rsidRPr="00CD5CF0" w:rsidP="00CD5CF0">
      <w:pPr>
        <w:pStyle w:val="AllowPageBreak"/>
      </w:pPr>
    </w:p>
    <w:p w:rsidR="00000000" w:rsidRPr="00CD5CF0" w:rsidP="00CD5CF0">
      <w:pPr>
        <w:pStyle w:val="Heading1"/>
      </w:pPr>
      <w:bookmarkStart w:id="4" w:name="O_1070099"/>
      <w:bookmarkEnd w:id="4"/>
      <w:r w:rsidRPr="00CD5CF0">
        <w:t>Assessment Conditions</w:t>
      </w:r>
    </w:p>
    <w:p w:rsidR="00000000" w:rsidRPr="00CD5CF0" w:rsidP="00F33939">
      <w:pPr>
        <w:pStyle w:val="BodyText"/>
      </w:pPr>
      <w:r w:rsidRPr="00CD5CF0">
        <w:t>Skills in this unit must be demonstrated in a wor</w:t>
      </w:r>
      <w:r w:rsidRPr="00CD5CF0">
        <w:t>kplace or simulated environment where the conditions are typical of those in a working environment in this industry. Noise levels, production flow, interruptions and time variances must be typical of those experienced in the area of work.</w:t>
      </w:r>
      <w:r w:rsidRPr="00CD5CF0">
        <w:br/>
      </w:r>
      <w:r w:rsidRPr="00CD5CF0">
        <w:br/>
        <w:t>This includes ac</w:t>
      </w:r>
      <w:r w:rsidRPr="00CD5CF0">
        <w:t>cess to:</w:t>
      </w:r>
    </w:p>
    <w:p w:rsidR="00000000" w:rsidRPr="00CD5CF0" w:rsidP="00CD5CF0">
      <w:pPr>
        <w:pStyle w:val="ListBullet"/>
      </w:pPr>
      <w:r w:rsidRPr="00CD5CF0">
        <w:t>flexographic printing plates</w:t>
      </w:r>
    </w:p>
    <w:p w:rsidR="00000000" w:rsidRPr="00CD5CF0" w:rsidP="00CD5CF0">
      <w:pPr>
        <w:pStyle w:val="ListBullet"/>
      </w:pPr>
      <w:r w:rsidRPr="00CD5CF0">
        <w:t>photopolymer plate printers</w:t>
      </w:r>
    </w:p>
    <w:p w:rsidR="00000000" w:rsidRPr="00CD5CF0" w:rsidP="00CD5CF0">
      <w:pPr>
        <w:pStyle w:val="ListBullet"/>
      </w:pPr>
      <w:r w:rsidRPr="00CD5CF0">
        <w:t>industry-standard software</w:t>
      </w:r>
    </w:p>
    <w:p w:rsidR="00000000" w:rsidRPr="00CD5CF0" w:rsidP="00CD5CF0">
      <w:pPr>
        <w:pStyle w:val="ListBullet"/>
      </w:pPr>
      <w:r w:rsidRPr="00CD5CF0">
        <w:t>a drying oven.</w:t>
      </w:r>
    </w:p>
    <w:p w:rsidR="00000000" w:rsidRPr="00CD5CF0" w:rsidP="00CD5CF0">
      <w:pPr>
        <w:pStyle w:val="BodyText"/>
      </w:pPr>
    </w:p>
    <w:p w:rsidR="00000000" w:rsidRPr="00CD5CF0" w:rsidP="00F33939">
      <w:pPr>
        <w:pStyle w:val="BodyText"/>
      </w:pPr>
      <w:r w:rsidRPr="00CD5CF0">
        <w:t>Assessors of this unit must satisfy the req</w:t>
      </w:r>
      <w:r w:rsidRPr="00CD5CF0">
        <w:t>uirements for assessors in applicable vocational education and training legislation, frameworks and/or standards.</w:t>
      </w:r>
    </w:p>
    <w:p w:rsidR="00000000" w:rsidRPr="00CD5CF0" w:rsidP="00CD5CF0">
      <w:pPr>
        <w:pStyle w:val="Heading1"/>
      </w:pPr>
      <w:bookmarkStart w:id="5" w:name="O_1070097"/>
      <w:bookmarkEnd w:id="5"/>
      <w:r w:rsidRPr="00CD5CF0">
        <w:t>Links</w:t>
      </w:r>
    </w:p>
    <w:p w:rsidR="00000000" w:rsidRPr="00CD5CF0" w:rsidP="00F33939">
      <w:pPr>
        <w:pStyle w:val="BodyText"/>
      </w:pPr>
      <w:r w:rsidRPr="00CD5CF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058D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D5CF0" w:rsidP="00CD5CF0"/>
    <w:sectPr w:rsidSect="00CD5C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C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CF0" w:rsidRPr="00F33939" w:rsidP="00F339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C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939" w:rsidP="00CD5C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3939" w:rsidP="00CD5C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3939" w:rsidP="00CD5C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C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9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5CF0" w:rsidRPr="00F33939" w:rsidP="00F339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C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939" w:rsidRPr="002D2AF8" w:rsidP="00CD5C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ICPPRP2680 Produce flexographic photopolymer plates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F33939" w:rsidP="00CD5C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94E5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18FE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C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5C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5C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5C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5C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5C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5C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5C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5C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5C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5C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5CF0"/>
  </w:style>
  <w:style w:type="character" w:customStyle="1" w:styleId="Heading1Char">
    <w:name w:val="Heading 1 Char"/>
    <w:basedOn w:val="DefaultParagraphFont"/>
    <w:link w:val="Heading1"/>
    <w:rsid w:val="00CD5C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5C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5C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5C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5CF0"/>
    <w:rPr>
      <w:b/>
      <w:spacing w:val="0"/>
    </w:rPr>
  </w:style>
  <w:style w:type="paragraph" w:customStyle="1" w:styleId="SuperHeading">
    <w:name w:val="SuperHeading"/>
    <w:basedOn w:val="Normal"/>
    <w:rsid w:val="00CD5C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5C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5C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5C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5C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5C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5C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5C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5C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5C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5C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5C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5C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5C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5C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5C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5C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5C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5C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5C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5C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5C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5C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5C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5C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5C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5C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5C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5C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5C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5C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5C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5C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5C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5C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5CF0"/>
    <w:rPr>
      <w:i/>
    </w:rPr>
  </w:style>
  <w:style w:type="paragraph" w:styleId="Caption">
    <w:name w:val="caption"/>
    <w:basedOn w:val="BodyText"/>
    <w:next w:val="Normal"/>
    <w:qFormat/>
    <w:rsid w:val="00CD5C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5C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5C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5CF0"/>
  </w:style>
  <w:style w:type="paragraph" w:styleId="TableofFigures">
    <w:name w:val="table of figures"/>
    <w:basedOn w:val="Normal"/>
    <w:next w:val="Normal"/>
    <w:semiHidden/>
    <w:rsid w:val="00CD5C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5C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5CF0"/>
    <w:rPr>
      <w:rFonts w:ascii="Wingdings" w:hAnsi="Wingdings"/>
    </w:rPr>
  </w:style>
  <w:style w:type="paragraph" w:customStyle="1" w:styleId="TableHeading">
    <w:name w:val="Table Heading"/>
    <w:basedOn w:val="HeadingBase"/>
    <w:rsid w:val="00CD5C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5CF0"/>
    <w:rPr>
      <w:color w:val="0033CC"/>
      <w:u w:val="none"/>
    </w:rPr>
  </w:style>
  <w:style w:type="paragraph" w:customStyle="1" w:styleId="BodyTextRight">
    <w:name w:val="Body Text Right"/>
    <w:basedOn w:val="BodyText"/>
    <w:rsid w:val="00CD5C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5C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5C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5C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5C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5C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5CF0"/>
    <w:rPr>
      <w:sz w:val="32"/>
    </w:rPr>
  </w:style>
  <w:style w:type="paragraph" w:customStyle="1" w:styleId="HeadingProcedure">
    <w:name w:val="Heading Procedure"/>
    <w:basedOn w:val="HeadingBase"/>
    <w:next w:val="Normal"/>
    <w:rsid w:val="00CD5C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5CF0"/>
    <w:pPr>
      <w:spacing w:before="60" w:after="60"/>
    </w:pPr>
  </w:style>
  <w:style w:type="paragraph" w:styleId="ListContinue">
    <w:name w:val="List Continue"/>
    <w:basedOn w:val="List"/>
    <w:rsid w:val="00CD5CF0"/>
    <w:pPr>
      <w:ind w:firstLine="0"/>
    </w:pPr>
  </w:style>
  <w:style w:type="paragraph" w:customStyle="1" w:styleId="ListNote">
    <w:name w:val="List Note"/>
    <w:basedOn w:val="List"/>
    <w:rsid w:val="00CD5C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5C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5C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5CF0"/>
    <w:rPr>
      <w:rFonts w:ascii="Courier New" w:hAnsi="Courier New"/>
    </w:rPr>
  </w:style>
  <w:style w:type="paragraph" w:customStyle="1" w:styleId="NoteBullet">
    <w:name w:val="Note Bullet"/>
    <w:basedOn w:val="Note"/>
    <w:rsid w:val="00CD5C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5C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5C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5C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5C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5C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5C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5CF0"/>
    <w:rPr>
      <w:b/>
      <w:smallCaps/>
    </w:rPr>
  </w:style>
  <w:style w:type="paragraph" w:customStyle="1" w:styleId="TableListNumber">
    <w:name w:val="Table List Number"/>
    <w:basedOn w:val="ListNumber"/>
    <w:rsid w:val="00CD5C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5C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5CF0"/>
    <w:pPr>
      <w:numPr>
        <w:numId w:val="8"/>
      </w:numPr>
    </w:pPr>
  </w:style>
  <w:style w:type="paragraph" w:customStyle="1" w:styleId="ListAlpha2">
    <w:name w:val="List Alpha 2"/>
    <w:basedOn w:val="List2"/>
    <w:rsid w:val="00CD5CF0"/>
    <w:pPr>
      <w:numPr>
        <w:numId w:val="7"/>
      </w:numPr>
    </w:pPr>
  </w:style>
  <w:style w:type="paragraph" w:styleId="List2">
    <w:name w:val="List 2"/>
    <w:basedOn w:val="BodyText"/>
    <w:rsid w:val="00CD5C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5C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5C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5C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5C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5C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5CF0"/>
    <w:pPr>
      <w:numPr>
        <w:numId w:val="3"/>
      </w:numPr>
    </w:pPr>
  </w:style>
  <w:style w:type="paragraph" w:styleId="ListContinue2">
    <w:name w:val="List Continue 2"/>
    <w:basedOn w:val="List2"/>
    <w:rsid w:val="00CD5CF0"/>
    <w:pPr>
      <w:ind w:firstLine="0"/>
    </w:pPr>
  </w:style>
  <w:style w:type="paragraph" w:styleId="ListContinue3">
    <w:name w:val="List Continue 3"/>
    <w:basedOn w:val="List3"/>
    <w:rsid w:val="00CD5CF0"/>
    <w:pPr>
      <w:ind w:left="1021" w:firstLine="0"/>
    </w:pPr>
  </w:style>
  <w:style w:type="paragraph" w:styleId="ListContinue4">
    <w:name w:val="List Continue 4"/>
    <w:basedOn w:val="List4"/>
    <w:rsid w:val="00CD5CF0"/>
    <w:pPr>
      <w:ind w:firstLine="0"/>
    </w:pPr>
  </w:style>
  <w:style w:type="paragraph" w:styleId="ListContinue5">
    <w:name w:val="List Continue 5"/>
    <w:basedOn w:val="List5"/>
    <w:rsid w:val="00CD5CF0"/>
    <w:pPr>
      <w:ind w:firstLine="0"/>
    </w:pPr>
  </w:style>
  <w:style w:type="paragraph" w:styleId="ListNumber3">
    <w:name w:val="List Number 3"/>
    <w:basedOn w:val="List3"/>
    <w:rsid w:val="00CD5CF0"/>
    <w:pPr>
      <w:numPr>
        <w:numId w:val="4"/>
      </w:numPr>
    </w:pPr>
  </w:style>
  <w:style w:type="paragraph" w:styleId="ListNumber4">
    <w:name w:val="List Number 4"/>
    <w:basedOn w:val="List4"/>
    <w:rsid w:val="00CD5CF0"/>
    <w:pPr>
      <w:numPr>
        <w:numId w:val="5"/>
      </w:numPr>
    </w:pPr>
  </w:style>
  <w:style w:type="paragraph" w:styleId="ListNumber5">
    <w:name w:val="List Number 5"/>
    <w:basedOn w:val="List5"/>
    <w:rsid w:val="00CD5CF0"/>
    <w:pPr>
      <w:numPr>
        <w:numId w:val="6"/>
      </w:numPr>
    </w:pPr>
  </w:style>
  <w:style w:type="paragraph" w:styleId="BlockText">
    <w:name w:val="Block Text"/>
    <w:basedOn w:val="Normal"/>
    <w:rsid w:val="00CD5C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5C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5CF0"/>
    <w:rPr>
      <w:sz w:val="16"/>
      <w:vertAlign w:val="superscript"/>
    </w:rPr>
  </w:style>
  <w:style w:type="character" w:customStyle="1" w:styleId="Symbols">
    <w:name w:val="Symbols"/>
    <w:basedOn w:val="DefaultParagraphFont"/>
    <w:rsid w:val="00CD5CF0"/>
    <w:rPr>
      <w:rFonts w:ascii="Symbol" w:hAnsi="Symbol"/>
    </w:rPr>
  </w:style>
  <w:style w:type="character" w:customStyle="1" w:styleId="MenuOptions">
    <w:name w:val="Menu Options"/>
    <w:basedOn w:val="DefaultParagraphFont"/>
    <w:rsid w:val="00CD5C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5CF0"/>
    <w:rPr>
      <w:b/>
    </w:rPr>
  </w:style>
  <w:style w:type="character" w:customStyle="1" w:styleId="Underlined">
    <w:name w:val="Underlined"/>
    <w:basedOn w:val="DefaultParagraphFont"/>
    <w:rsid w:val="00CD5CF0"/>
    <w:rPr>
      <w:u w:val="single"/>
    </w:rPr>
  </w:style>
  <w:style w:type="paragraph" w:customStyle="1" w:styleId="TableBodyTextRight">
    <w:name w:val="Table Body Text Right"/>
    <w:basedOn w:val="TableBodyText"/>
    <w:rsid w:val="00CD5C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5CF0"/>
    <w:rPr>
      <w:sz w:val="18"/>
    </w:rPr>
  </w:style>
  <w:style w:type="paragraph" w:customStyle="1" w:styleId="BodySmallRight">
    <w:name w:val="Body Small Right"/>
    <w:basedOn w:val="BodyTextRight"/>
    <w:rsid w:val="00CD5CF0"/>
    <w:rPr>
      <w:sz w:val="18"/>
      <w:szCs w:val="18"/>
    </w:rPr>
  </w:style>
  <w:style w:type="paragraph" w:customStyle="1" w:styleId="MarginEdition">
    <w:name w:val="Margin Edition"/>
    <w:basedOn w:val="MarginNote"/>
    <w:rsid w:val="00CD5C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5CF0"/>
    <w:rPr>
      <w:sz w:val="2"/>
      <w:szCs w:val="2"/>
    </w:rPr>
  </w:style>
  <w:style w:type="character" w:customStyle="1" w:styleId="Small">
    <w:name w:val="Small"/>
    <w:basedOn w:val="DefaultParagraphFont"/>
    <w:rsid w:val="00CD5CF0"/>
    <w:rPr>
      <w:sz w:val="16"/>
    </w:rPr>
  </w:style>
  <w:style w:type="paragraph" w:customStyle="1" w:styleId="WideTable">
    <w:name w:val="Wide Table"/>
    <w:basedOn w:val="Normal"/>
    <w:rsid w:val="00CD5C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5CF0"/>
  </w:style>
  <w:style w:type="paragraph" w:styleId="Quote">
    <w:name w:val="Quote"/>
    <w:basedOn w:val="Heading1"/>
    <w:link w:val="QuoteChar"/>
    <w:qFormat/>
    <w:rsid w:val="00CD5C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5C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5CF0"/>
    <w:pPr>
      <w:pageBreakBefore/>
    </w:pPr>
  </w:style>
  <w:style w:type="paragraph" w:customStyle="1" w:styleId="Border">
    <w:name w:val="Border"/>
    <w:basedOn w:val="Normal"/>
    <w:qFormat/>
    <w:rsid w:val="00CD5C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5C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C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C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5C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5C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5C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5C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5C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5CF0"/>
    <w:rPr>
      <w:u w:val="single"/>
    </w:rPr>
  </w:style>
  <w:style w:type="character" w:customStyle="1" w:styleId="BoldandItalics">
    <w:name w:val="Bold and Italics"/>
    <w:qFormat/>
    <w:rsid w:val="00CD5CF0"/>
    <w:rPr>
      <w:b/>
      <w:i/>
      <w:u w:val="none"/>
    </w:rPr>
  </w:style>
  <w:style w:type="paragraph" w:styleId="BalloonText">
    <w:name w:val="Balloon Text"/>
    <w:basedOn w:val="Normal"/>
    <w:link w:val="BalloonTextChar"/>
    <w:rsid w:val="00CD5C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5C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5C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5C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5C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5C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5CF0"/>
    <w:pPr>
      <w:spacing w:before="0" w:after="0"/>
    </w:pPr>
  </w:style>
  <w:style w:type="paragraph" w:customStyle="1" w:styleId="BodyTextBold">
    <w:name w:val="Body Text Bold"/>
    <w:basedOn w:val="BodyText"/>
    <w:qFormat/>
    <w:rsid w:val="00CD5CF0"/>
    <w:rPr>
      <w:b/>
    </w:rPr>
  </w:style>
  <w:style w:type="character" w:styleId="Hyperlink">
    <w:name w:val="Hyperlink"/>
    <w:basedOn w:val="DefaultParagraphFont"/>
    <w:uiPriority w:val="99"/>
    <w:unhideWhenUsed/>
    <w:rsid w:val="00F339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2264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ICPPRP2680 Produce flexographic photopolymer plates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2021-07-20T05:46:00Z</dcterms:created>
  <dcterms:modified xsi:type="dcterms:W3CDTF">2021-07-20T05:46:00Z</dcterms:modified>
</cp:coreProperties>
</file>