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10F8" w:rsidP="007310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ICPPRP2670 Produce offset lithographic plates</w:t>
      </w:r>
      <w:r>
        <w:fldChar w:fldCharType="end"/>
      </w:r>
    </w:p>
    <w:p w:rsidR="007310F8" w:rsidP="007310F8">
      <w:pPr>
        <w:pStyle w:val="Version"/>
        <w:sectPr w:rsidSect="00EA0A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0AD8" w:rsidP="00EA0AD8">
      <w:pPr>
        <w:pStyle w:val="SuperHeading"/>
      </w:pPr>
      <w:r w:rsidRPr="00EA0AD8">
        <w:t>Assessment Requirements for ICPPRP2670 Produce offset lithographic plates</w:t>
      </w:r>
    </w:p>
    <w:p w:rsidR="00000000" w:rsidRPr="00EA0AD8" w:rsidP="00EA0AD8">
      <w:pPr>
        <w:pStyle w:val="Heading1"/>
      </w:pPr>
      <w:bookmarkStart w:id="1" w:name="O_1070082"/>
      <w:bookmarkEnd w:id="1"/>
      <w:r w:rsidRPr="00EA0A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EA0A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AD8" w:rsidP="00EA0AD8">
            <w:pPr>
              <w:pStyle w:val="BodyText"/>
            </w:pPr>
            <w:r w:rsidRPr="00EA0AD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AD8">
            <w:pPr>
              <w:pStyle w:val="BodyText"/>
              <w:rPr>
                <w:lang w:val="en-NZ"/>
              </w:rPr>
            </w:pPr>
            <w:r w:rsidRPr="00EA0AD8">
              <w:rPr>
                <w:rStyle w:val="SpecialBold"/>
              </w:rPr>
              <w:t>Comments</w:t>
            </w:r>
          </w:p>
        </w:tc>
      </w:tr>
      <w:tr w:rsidTr="00EA0A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AD8">
            <w:pPr>
              <w:pStyle w:val="BodyText"/>
              <w:rPr>
                <w:lang w:val="en-NZ"/>
              </w:rPr>
            </w:pPr>
            <w:r w:rsidRPr="00EA0AD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AD8" w:rsidP="00EA0AD8">
            <w:pPr>
              <w:pStyle w:val="BodyText"/>
            </w:pPr>
            <w:r w:rsidRPr="00EA0AD8">
              <w:t>This version first released with ICP Printing and Graphic Arts Training Package Version 4.0.</w:t>
            </w:r>
          </w:p>
        </w:tc>
      </w:tr>
    </w:tbl>
    <w:p w:rsidR="00000000" w:rsidRPr="00EA0AD8" w:rsidP="00EA0AD8">
      <w:pPr>
        <w:pStyle w:val="BodyText"/>
      </w:pPr>
    </w:p>
    <w:p w:rsidR="00000000" w:rsidRPr="00EA0AD8" w:rsidP="00EA0AD8">
      <w:pPr>
        <w:pStyle w:val="AllowPageBreak"/>
      </w:pPr>
    </w:p>
    <w:p w:rsidR="00000000" w:rsidRPr="00EA0AD8" w:rsidP="00EA0AD8">
      <w:pPr>
        <w:pStyle w:val="Heading1"/>
      </w:pPr>
      <w:bookmarkStart w:id="2" w:name="O_1070085"/>
      <w:bookmarkEnd w:id="2"/>
      <w:r w:rsidRPr="00EA0AD8">
        <w:t>Performance Evidence</w:t>
      </w:r>
    </w:p>
    <w:p w:rsidR="00000000" w:rsidRPr="00EA0AD8" w:rsidP="007310F8">
      <w:pPr>
        <w:pStyle w:val="BodyText"/>
      </w:pPr>
      <w:r w:rsidRPr="00EA0AD8">
        <w:t>The candidate must demonstrate the ability to complete the tasks outlined in the elements, performance criteria and foundation skills of the unit, including evidence of the ability to:</w:t>
      </w:r>
    </w:p>
    <w:p w:rsidR="00000000" w:rsidRPr="00EA0AD8" w:rsidP="00EA0AD8">
      <w:pPr>
        <w:pStyle w:val="ListBullet"/>
      </w:pPr>
      <w:r w:rsidRPr="00EA0AD8">
        <w:t>prepare, set up and use lithographic plate exposu</w:t>
      </w:r>
      <w:r w:rsidRPr="00EA0AD8">
        <w:t>re and plate processing equipment and software to produce one lithographic plate manually and one with machinery.</w:t>
      </w:r>
    </w:p>
    <w:p w:rsidR="00000000" w:rsidRPr="00EA0AD8" w:rsidP="00EA0AD8">
      <w:pPr>
        <w:pStyle w:val="BodyText"/>
      </w:pPr>
      <w:r w:rsidRPr="00EA0AD8">
        <w:t xml:space="preserve"> </w:t>
      </w:r>
    </w:p>
    <w:p w:rsidR="00000000" w:rsidRPr="00EA0AD8" w:rsidP="007310F8">
      <w:pPr>
        <w:pStyle w:val="BodyText"/>
      </w:pPr>
      <w:r w:rsidRPr="00EA0AD8">
        <w:t>In the course of the above, the candidate must:</w:t>
      </w:r>
    </w:p>
    <w:p w:rsidR="00000000" w:rsidRPr="00EA0AD8" w:rsidP="00EA0AD8">
      <w:pPr>
        <w:pStyle w:val="ListBullet"/>
      </w:pPr>
      <w:r w:rsidRPr="00EA0AD8">
        <w:t>modify the plate image to deliver the required standard of output</w:t>
      </w:r>
    </w:p>
    <w:p w:rsidR="00000000" w:rsidRPr="00EA0AD8" w:rsidP="00EA0AD8">
      <w:pPr>
        <w:pStyle w:val="ListBullet"/>
      </w:pPr>
      <w:r w:rsidRPr="00EA0AD8">
        <w:t xml:space="preserve">identify the substrate for reproduction </w:t>
      </w:r>
    </w:p>
    <w:p w:rsidR="00000000" w:rsidRPr="00EA0AD8" w:rsidP="00EA0AD8">
      <w:pPr>
        <w:pStyle w:val="ListBullet"/>
      </w:pPr>
      <w:r w:rsidRPr="00EA0AD8">
        <w:t>ensure plate quality meet requirements for the identified printing processes.</w:t>
      </w:r>
    </w:p>
    <w:p w:rsidR="00000000" w:rsidRPr="00EA0AD8" w:rsidP="00EA0AD8">
      <w:pPr>
        <w:pStyle w:val="AllowPageBreak"/>
      </w:pPr>
    </w:p>
    <w:p w:rsidR="00000000" w:rsidRPr="00EA0AD8" w:rsidP="00EA0AD8">
      <w:pPr>
        <w:pStyle w:val="Heading1"/>
      </w:pPr>
      <w:bookmarkStart w:id="3" w:name="O_1070084"/>
      <w:bookmarkEnd w:id="3"/>
      <w:r w:rsidRPr="00EA0AD8">
        <w:t>Knowledge Evidence</w:t>
      </w:r>
    </w:p>
    <w:p w:rsidR="00000000" w:rsidRPr="00EA0AD8" w:rsidP="007310F8">
      <w:pPr>
        <w:pStyle w:val="BodyText"/>
      </w:pPr>
      <w:r w:rsidRPr="00EA0AD8">
        <w:t>The candidate must be able to demonstrate knowledge to complete the tasks outlined in the elements,</w:t>
      </w:r>
      <w:r w:rsidRPr="00EA0AD8">
        <w:t xml:space="preserve"> performance criteria and foundation skills of this unit, including knowledge of:</w:t>
      </w:r>
    </w:p>
    <w:p w:rsidR="00000000" w:rsidRPr="00EA0AD8" w:rsidP="00EA0AD8">
      <w:pPr>
        <w:pStyle w:val="ListBullet"/>
      </w:pPr>
      <w:r w:rsidRPr="00EA0AD8">
        <w:t>types of lithographic plates and the criteria for their selection</w:t>
      </w:r>
    </w:p>
    <w:p w:rsidR="00000000" w:rsidRPr="00EA0AD8" w:rsidP="00EA0AD8">
      <w:pPr>
        <w:pStyle w:val="ListBullet"/>
      </w:pPr>
      <w:r w:rsidRPr="00EA0AD8">
        <w:t>advantages and disadvantages of negative and positive plates</w:t>
      </w:r>
    </w:p>
    <w:p w:rsidR="00000000" w:rsidRPr="00EA0AD8" w:rsidP="00EA0AD8">
      <w:pPr>
        <w:pStyle w:val="ListBullet"/>
      </w:pPr>
      <w:r w:rsidRPr="00EA0AD8">
        <w:t>computer-to-plate (CTP) printing and its indus</w:t>
      </w:r>
      <w:r w:rsidRPr="00EA0AD8">
        <w:t>try-standard equipment software</w:t>
      </w:r>
    </w:p>
    <w:p w:rsidR="00000000" w:rsidRPr="00EA0AD8" w:rsidP="00EA0AD8">
      <w:pPr>
        <w:pStyle w:val="ListBullet"/>
      </w:pPr>
      <w:r w:rsidRPr="00EA0AD8">
        <w:t>plate exposure techniques and control, including:</w:t>
      </w:r>
    </w:p>
    <w:p w:rsidR="00000000" w:rsidRPr="00EA0AD8" w:rsidP="00EA0AD8">
      <w:pPr>
        <w:pStyle w:val="ListBullet2"/>
      </w:pPr>
      <w:r w:rsidRPr="00EA0AD8">
        <w:t>the squared and centred position of images</w:t>
      </w:r>
    </w:p>
    <w:p w:rsidR="00000000" w:rsidRPr="00EA0AD8" w:rsidP="00EA0AD8">
      <w:pPr>
        <w:pStyle w:val="ListBullet2"/>
      </w:pPr>
      <w:r w:rsidRPr="00EA0AD8">
        <w:t>importance of colour bars and control strips</w:t>
      </w:r>
    </w:p>
    <w:p w:rsidR="00000000" w:rsidRPr="00EA0AD8" w:rsidP="00EA0AD8">
      <w:pPr>
        <w:pStyle w:val="ListBullet2"/>
      </w:pPr>
      <w:r w:rsidRPr="00EA0AD8">
        <w:t>light sources used in plate exposing frames</w:t>
      </w:r>
    </w:p>
    <w:p w:rsidR="00000000" w:rsidRPr="00EA0AD8" w:rsidP="00EA0AD8">
      <w:pPr>
        <w:pStyle w:val="ListBullet"/>
      </w:pPr>
      <w:r w:rsidRPr="00EA0AD8">
        <w:t>plate processing</w:t>
      </w:r>
    </w:p>
    <w:p w:rsidR="00000000" w:rsidRPr="00EA0AD8" w:rsidP="00EA0AD8">
      <w:pPr>
        <w:pStyle w:val="ListBullet"/>
      </w:pPr>
      <w:r w:rsidRPr="00EA0AD8">
        <w:t xml:space="preserve">work health and safety </w:t>
      </w:r>
      <w:r w:rsidRPr="00EA0AD8">
        <w:t>(WHS) requirements when processing printing plates</w:t>
      </w:r>
    </w:p>
    <w:p w:rsidR="00000000" w:rsidRPr="00EA0AD8" w:rsidP="00EA0AD8">
      <w:pPr>
        <w:pStyle w:val="ListBullet"/>
      </w:pPr>
      <w:r w:rsidRPr="00EA0AD8">
        <w:t>baths and solutions used in a plate processing machine</w:t>
      </w:r>
    </w:p>
    <w:p w:rsidR="00000000" w:rsidRPr="00EA0AD8" w:rsidP="00EA0AD8">
      <w:pPr>
        <w:pStyle w:val="ListBullet"/>
      </w:pPr>
      <w:r w:rsidRPr="00EA0AD8">
        <w:t xml:space="preserve">impacts of changes in processor time on the final plate </w:t>
      </w:r>
    </w:p>
    <w:p w:rsidR="00000000" w:rsidRPr="00EA0AD8" w:rsidP="00EA0AD8">
      <w:pPr>
        <w:pStyle w:val="ListBullet"/>
      </w:pPr>
      <w:r w:rsidRPr="00EA0AD8">
        <w:t>plate finishing and correction procedures</w:t>
      </w:r>
    </w:p>
    <w:p w:rsidR="00000000" w:rsidRPr="00EA0AD8" w:rsidP="00EA0AD8">
      <w:pPr>
        <w:pStyle w:val="ListBullet"/>
      </w:pPr>
      <w:r w:rsidRPr="00EA0AD8">
        <w:t>purpose of gumming a plate</w:t>
      </w:r>
    </w:p>
    <w:p w:rsidR="00000000" w:rsidRPr="00EA0AD8" w:rsidP="00EA0AD8">
      <w:pPr>
        <w:pStyle w:val="ListBullet"/>
      </w:pPr>
      <w:r w:rsidRPr="00EA0AD8">
        <w:t>post-exposure techniques</w:t>
      </w:r>
    </w:p>
    <w:p w:rsidR="00000000" w:rsidRPr="00EA0AD8" w:rsidP="00EA0AD8">
      <w:pPr>
        <w:pStyle w:val="ListBullet"/>
      </w:pPr>
      <w:r w:rsidRPr="00EA0AD8">
        <w:t>criteria used to evaluate plate accuracy</w:t>
      </w:r>
    </w:p>
    <w:p w:rsidR="00000000" w:rsidRPr="00EA0AD8" w:rsidP="00EA0AD8">
      <w:pPr>
        <w:pStyle w:val="ListBullet"/>
      </w:pPr>
      <w:r w:rsidRPr="00EA0AD8">
        <w:t>procedures to address dot gain issues</w:t>
      </w:r>
    </w:p>
    <w:p w:rsidR="00000000" w:rsidRPr="00EA0AD8" w:rsidP="00EA0AD8">
      <w:pPr>
        <w:pStyle w:val="ListBullet"/>
      </w:pPr>
      <w:r w:rsidRPr="00EA0AD8">
        <w:t>difference between physical and optical dot gain</w:t>
      </w:r>
    </w:p>
    <w:p w:rsidR="00000000" w:rsidRPr="00EA0AD8" w:rsidP="00EA0AD8">
      <w:pPr>
        <w:pStyle w:val="ListBullet"/>
      </w:pPr>
      <w:r w:rsidRPr="00EA0AD8">
        <w:t>plate punching and registration and procedures required to maintain accuracy</w:t>
      </w:r>
    </w:p>
    <w:p w:rsidR="00000000" w:rsidRPr="00EA0AD8" w:rsidP="00EA0AD8">
      <w:pPr>
        <w:pStyle w:val="ListBullet"/>
      </w:pPr>
      <w:r w:rsidRPr="00EA0AD8">
        <w:t>manufacturer manuals, enterprise procedures and wo</w:t>
      </w:r>
      <w:r w:rsidRPr="00EA0AD8">
        <w:t>rk health and safety and enterprise documentation, including their location and purpose.</w:t>
      </w:r>
    </w:p>
    <w:p w:rsidR="00000000" w:rsidRPr="00EA0AD8" w:rsidP="00EA0AD8">
      <w:pPr>
        <w:pStyle w:val="AllowPageBreak"/>
      </w:pPr>
    </w:p>
    <w:p w:rsidR="00000000" w:rsidRPr="00EA0AD8" w:rsidP="00EA0AD8">
      <w:pPr>
        <w:pStyle w:val="Heading1"/>
      </w:pPr>
      <w:bookmarkStart w:id="4" w:name="O_1070083"/>
      <w:bookmarkEnd w:id="4"/>
      <w:r w:rsidRPr="00EA0AD8">
        <w:t>Assessment Conditions</w:t>
      </w:r>
    </w:p>
    <w:p w:rsidR="00000000" w:rsidRPr="00EA0AD8" w:rsidP="007310F8">
      <w:pPr>
        <w:pStyle w:val="BodyText"/>
      </w:pPr>
      <w:r w:rsidRPr="00EA0AD8">
        <w:t xml:space="preserve">Skills in this unit must be demonstrated in a workplace or simulated environment where the conditions are typical of those in </w:t>
      </w:r>
      <w:r w:rsidRPr="00EA0AD8">
        <w:t>a working environment in this industry. Noise levels, production flow, interruptions and time variances must be typical of those experienced in the area of work.</w:t>
      </w:r>
      <w:r w:rsidRPr="00EA0AD8">
        <w:br/>
      </w:r>
      <w:r w:rsidRPr="00EA0AD8">
        <w:br/>
        <w:t>This includes access to:</w:t>
      </w:r>
    </w:p>
    <w:p w:rsidR="00000000" w:rsidRPr="00EA0AD8" w:rsidP="00EA0AD8">
      <w:pPr>
        <w:pStyle w:val="ListBullet"/>
      </w:pPr>
      <w:r w:rsidRPr="00EA0AD8">
        <w:t>lithographic print tools and equipment</w:t>
      </w:r>
    </w:p>
    <w:p w:rsidR="00000000" w:rsidRPr="00EA0AD8" w:rsidP="00EA0AD8">
      <w:pPr>
        <w:pStyle w:val="ListBullet"/>
      </w:pPr>
      <w:r w:rsidRPr="00EA0AD8">
        <w:t>industry software packages.</w:t>
      </w:r>
    </w:p>
    <w:p w:rsidR="00000000" w:rsidRPr="00EA0AD8" w:rsidP="00EA0AD8">
      <w:pPr>
        <w:pStyle w:val="BodyText"/>
      </w:pPr>
    </w:p>
    <w:p w:rsidR="00000000" w:rsidRPr="00EA0AD8" w:rsidP="007310F8">
      <w:pPr>
        <w:pStyle w:val="BodyText"/>
      </w:pPr>
      <w:r w:rsidRPr="00EA0AD8">
        <w:t>Assessors of this unit must satisfy the requirements for assessors in applicable vocational education and training legislation, frameworks and/or standards.</w:t>
      </w:r>
    </w:p>
    <w:p w:rsidR="00000000" w:rsidRPr="00EA0AD8" w:rsidP="00EA0AD8">
      <w:pPr>
        <w:pStyle w:val="Heading1"/>
      </w:pPr>
      <w:bookmarkStart w:id="5" w:name="O_1070081"/>
      <w:bookmarkEnd w:id="5"/>
      <w:r w:rsidRPr="00EA0AD8">
        <w:t>Links</w:t>
      </w:r>
    </w:p>
    <w:p w:rsidR="00000000" w:rsidRPr="00EA0AD8" w:rsidP="007310F8">
      <w:pPr>
        <w:pStyle w:val="BodyText"/>
      </w:pPr>
      <w:r w:rsidRPr="00EA0AD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7140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A0AD8" w:rsidP="00EA0AD8"/>
    <w:sectPr w:rsidSect="00EA0A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A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AD8" w:rsidRPr="007310F8" w:rsidP="007310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A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0F8" w:rsidP="00EA0A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10F8" w:rsidP="00EA0A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10F8" w:rsidP="00EA0A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A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0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0AD8" w:rsidRPr="007310F8" w:rsidP="007310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A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0F8" w:rsidRPr="002D2AF8" w:rsidP="00EA0A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ICPPRP2670 Produce offset lithographic plates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7310F8" w:rsidP="00EA0A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42B6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1436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7064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A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0A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0A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0A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0A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0A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0A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0A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0A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0A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0A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0AD8"/>
  </w:style>
  <w:style w:type="character" w:customStyle="1" w:styleId="Heading1Char">
    <w:name w:val="Heading 1 Char"/>
    <w:basedOn w:val="DefaultParagraphFont"/>
    <w:link w:val="Heading1"/>
    <w:rsid w:val="00EA0A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0A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0A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0A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0AD8"/>
    <w:rPr>
      <w:b/>
      <w:spacing w:val="0"/>
    </w:rPr>
  </w:style>
  <w:style w:type="paragraph" w:styleId="ListBullet2">
    <w:name w:val="List Bullet 2"/>
    <w:basedOn w:val="List2"/>
    <w:rsid w:val="00EA0A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0A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0A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0A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0A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0A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0A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0A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0A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0A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0A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0A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0A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0A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0A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0A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0A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0A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0A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0A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0A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0A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0A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0A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0A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0A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0A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0A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0A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0A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0A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0A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0A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0A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0A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0AD8"/>
    <w:rPr>
      <w:i/>
    </w:rPr>
  </w:style>
  <w:style w:type="paragraph" w:styleId="Caption">
    <w:name w:val="caption"/>
    <w:basedOn w:val="BodyText"/>
    <w:next w:val="Normal"/>
    <w:qFormat/>
    <w:rsid w:val="00EA0A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0A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0A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0AD8"/>
  </w:style>
  <w:style w:type="paragraph" w:styleId="TableofFigures">
    <w:name w:val="table of figures"/>
    <w:basedOn w:val="Normal"/>
    <w:next w:val="Normal"/>
    <w:semiHidden/>
    <w:rsid w:val="00EA0A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0A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0AD8"/>
    <w:rPr>
      <w:rFonts w:ascii="Wingdings" w:hAnsi="Wingdings"/>
    </w:rPr>
  </w:style>
  <w:style w:type="paragraph" w:customStyle="1" w:styleId="TableHeading">
    <w:name w:val="Table Heading"/>
    <w:basedOn w:val="HeadingBase"/>
    <w:rsid w:val="00EA0A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0AD8"/>
    <w:rPr>
      <w:color w:val="0033CC"/>
      <w:u w:val="none"/>
    </w:rPr>
  </w:style>
  <w:style w:type="paragraph" w:customStyle="1" w:styleId="BodyTextRight">
    <w:name w:val="Body Text Right"/>
    <w:basedOn w:val="BodyText"/>
    <w:rsid w:val="00EA0A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0A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0A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0A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0A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0A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0AD8"/>
    <w:rPr>
      <w:sz w:val="32"/>
    </w:rPr>
  </w:style>
  <w:style w:type="paragraph" w:customStyle="1" w:styleId="HeadingProcedure">
    <w:name w:val="Heading Procedure"/>
    <w:basedOn w:val="HeadingBase"/>
    <w:next w:val="Normal"/>
    <w:rsid w:val="00EA0A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0AD8"/>
    <w:pPr>
      <w:spacing w:before="60" w:after="60"/>
    </w:pPr>
  </w:style>
  <w:style w:type="paragraph" w:styleId="ListContinue">
    <w:name w:val="List Continue"/>
    <w:basedOn w:val="List"/>
    <w:rsid w:val="00EA0AD8"/>
    <w:pPr>
      <w:ind w:firstLine="0"/>
    </w:pPr>
  </w:style>
  <w:style w:type="paragraph" w:customStyle="1" w:styleId="ListNote">
    <w:name w:val="List Note"/>
    <w:basedOn w:val="List"/>
    <w:rsid w:val="00EA0A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0A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0A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0AD8"/>
    <w:rPr>
      <w:rFonts w:ascii="Courier New" w:hAnsi="Courier New"/>
    </w:rPr>
  </w:style>
  <w:style w:type="paragraph" w:customStyle="1" w:styleId="NoteBullet">
    <w:name w:val="Note Bullet"/>
    <w:basedOn w:val="Note"/>
    <w:rsid w:val="00EA0A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0A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0A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0A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0A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0A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0A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0AD8"/>
    <w:rPr>
      <w:b/>
      <w:smallCaps/>
    </w:rPr>
  </w:style>
  <w:style w:type="paragraph" w:customStyle="1" w:styleId="TableListNumber">
    <w:name w:val="Table List Number"/>
    <w:basedOn w:val="ListNumber"/>
    <w:rsid w:val="00EA0A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0A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0AD8"/>
    <w:pPr>
      <w:numPr>
        <w:numId w:val="9"/>
      </w:numPr>
    </w:pPr>
  </w:style>
  <w:style w:type="paragraph" w:customStyle="1" w:styleId="ListAlpha2">
    <w:name w:val="List Alpha 2"/>
    <w:basedOn w:val="List2"/>
    <w:rsid w:val="00EA0AD8"/>
    <w:pPr>
      <w:numPr>
        <w:numId w:val="8"/>
      </w:numPr>
    </w:pPr>
  </w:style>
  <w:style w:type="paragraph" w:styleId="List2">
    <w:name w:val="List 2"/>
    <w:basedOn w:val="BodyText"/>
    <w:rsid w:val="00EA0A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0A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0A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0A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0A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0A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0AD8"/>
    <w:pPr>
      <w:numPr>
        <w:numId w:val="4"/>
      </w:numPr>
    </w:pPr>
  </w:style>
  <w:style w:type="paragraph" w:styleId="ListContinue2">
    <w:name w:val="List Continue 2"/>
    <w:basedOn w:val="List2"/>
    <w:rsid w:val="00EA0AD8"/>
    <w:pPr>
      <w:ind w:firstLine="0"/>
    </w:pPr>
  </w:style>
  <w:style w:type="paragraph" w:styleId="ListContinue3">
    <w:name w:val="List Continue 3"/>
    <w:basedOn w:val="List3"/>
    <w:rsid w:val="00EA0AD8"/>
    <w:pPr>
      <w:ind w:left="1021" w:firstLine="0"/>
    </w:pPr>
  </w:style>
  <w:style w:type="paragraph" w:styleId="ListContinue4">
    <w:name w:val="List Continue 4"/>
    <w:basedOn w:val="List4"/>
    <w:rsid w:val="00EA0AD8"/>
    <w:pPr>
      <w:ind w:firstLine="0"/>
    </w:pPr>
  </w:style>
  <w:style w:type="paragraph" w:styleId="ListContinue5">
    <w:name w:val="List Continue 5"/>
    <w:basedOn w:val="List5"/>
    <w:rsid w:val="00EA0AD8"/>
    <w:pPr>
      <w:ind w:firstLine="0"/>
    </w:pPr>
  </w:style>
  <w:style w:type="paragraph" w:styleId="ListNumber3">
    <w:name w:val="List Number 3"/>
    <w:basedOn w:val="List3"/>
    <w:rsid w:val="00EA0AD8"/>
    <w:pPr>
      <w:numPr>
        <w:numId w:val="5"/>
      </w:numPr>
    </w:pPr>
  </w:style>
  <w:style w:type="paragraph" w:styleId="ListNumber4">
    <w:name w:val="List Number 4"/>
    <w:basedOn w:val="List4"/>
    <w:rsid w:val="00EA0AD8"/>
    <w:pPr>
      <w:numPr>
        <w:numId w:val="6"/>
      </w:numPr>
    </w:pPr>
  </w:style>
  <w:style w:type="paragraph" w:styleId="ListNumber5">
    <w:name w:val="List Number 5"/>
    <w:basedOn w:val="List5"/>
    <w:rsid w:val="00EA0AD8"/>
    <w:pPr>
      <w:numPr>
        <w:numId w:val="7"/>
      </w:numPr>
    </w:pPr>
  </w:style>
  <w:style w:type="paragraph" w:styleId="BlockText">
    <w:name w:val="Block Text"/>
    <w:basedOn w:val="Normal"/>
    <w:rsid w:val="00EA0A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0A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0AD8"/>
    <w:rPr>
      <w:sz w:val="16"/>
      <w:vertAlign w:val="superscript"/>
    </w:rPr>
  </w:style>
  <w:style w:type="character" w:customStyle="1" w:styleId="Symbols">
    <w:name w:val="Symbols"/>
    <w:basedOn w:val="DefaultParagraphFont"/>
    <w:rsid w:val="00EA0AD8"/>
    <w:rPr>
      <w:rFonts w:ascii="Symbol" w:hAnsi="Symbol"/>
    </w:rPr>
  </w:style>
  <w:style w:type="character" w:customStyle="1" w:styleId="MenuOptions">
    <w:name w:val="Menu Options"/>
    <w:basedOn w:val="DefaultParagraphFont"/>
    <w:rsid w:val="00EA0A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0AD8"/>
    <w:rPr>
      <w:b/>
    </w:rPr>
  </w:style>
  <w:style w:type="character" w:customStyle="1" w:styleId="Underlined">
    <w:name w:val="Underlined"/>
    <w:basedOn w:val="DefaultParagraphFont"/>
    <w:rsid w:val="00EA0AD8"/>
    <w:rPr>
      <w:u w:val="single"/>
    </w:rPr>
  </w:style>
  <w:style w:type="paragraph" w:customStyle="1" w:styleId="TableBodyTextRight">
    <w:name w:val="Table Body Text Right"/>
    <w:basedOn w:val="TableBodyText"/>
    <w:rsid w:val="00EA0A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0AD8"/>
    <w:rPr>
      <w:sz w:val="18"/>
    </w:rPr>
  </w:style>
  <w:style w:type="paragraph" w:customStyle="1" w:styleId="BodySmallRight">
    <w:name w:val="Body Small Right"/>
    <w:basedOn w:val="BodyTextRight"/>
    <w:rsid w:val="00EA0AD8"/>
    <w:rPr>
      <w:sz w:val="18"/>
      <w:szCs w:val="18"/>
    </w:rPr>
  </w:style>
  <w:style w:type="paragraph" w:customStyle="1" w:styleId="MarginEdition">
    <w:name w:val="Margin Edition"/>
    <w:basedOn w:val="MarginNote"/>
    <w:rsid w:val="00EA0A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0AD8"/>
    <w:rPr>
      <w:sz w:val="2"/>
      <w:szCs w:val="2"/>
    </w:rPr>
  </w:style>
  <w:style w:type="character" w:customStyle="1" w:styleId="Small">
    <w:name w:val="Small"/>
    <w:basedOn w:val="DefaultParagraphFont"/>
    <w:rsid w:val="00EA0AD8"/>
    <w:rPr>
      <w:sz w:val="16"/>
    </w:rPr>
  </w:style>
  <w:style w:type="paragraph" w:customStyle="1" w:styleId="WideTable">
    <w:name w:val="Wide Table"/>
    <w:basedOn w:val="Normal"/>
    <w:rsid w:val="00EA0A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0AD8"/>
  </w:style>
  <w:style w:type="paragraph" w:styleId="Quote">
    <w:name w:val="Quote"/>
    <w:basedOn w:val="Heading1"/>
    <w:link w:val="QuoteChar"/>
    <w:qFormat/>
    <w:rsid w:val="00EA0A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0A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0AD8"/>
    <w:pPr>
      <w:pageBreakBefore/>
    </w:pPr>
  </w:style>
  <w:style w:type="paragraph" w:customStyle="1" w:styleId="Border">
    <w:name w:val="Border"/>
    <w:basedOn w:val="Normal"/>
    <w:qFormat/>
    <w:rsid w:val="00EA0A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0A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A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A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0A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0A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0A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0A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0A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0AD8"/>
    <w:rPr>
      <w:u w:val="single"/>
    </w:rPr>
  </w:style>
  <w:style w:type="character" w:customStyle="1" w:styleId="BoldandItalics">
    <w:name w:val="Bold and Italics"/>
    <w:qFormat/>
    <w:rsid w:val="00EA0AD8"/>
    <w:rPr>
      <w:b/>
      <w:i/>
      <w:u w:val="none"/>
    </w:rPr>
  </w:style>
  <w:style w:type="paragraph" w:styleId="BalloonText">
    <w:name w:val="Balloon Text"/>
    <w:basedOn w:val="Normal"/>
    <w:link w:val="BalloonTextChar"/>
    <w:rsid w:val="00EA0A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0A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0A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0A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0A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0A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0AD8"/>
    <w:pPr>
      <w:spacing w:before="0" w:after="0"/>
    </w:pPr>
  </w:style>
  <w:style w:type="paragraph" w:customStyle="1" w:styleId="BodyTextBold">
    <w:name w:val="Body Text Bold"/>
    <w:basedOn w:val="BodyText"/>
    <w:qFormat/>
    <w:rsid w:val="00EA0AD8"/>
    <w:rPr>
      <w:b/>
    </w:rPr>
  </w:style>
  <w:style w:type="character" w:styleId="Hyperlink">
    <w:name w:val="Hyperlink"/>
    <w:basedOn w:val="DefaultParagraphFont"/>
    <w:uiPriority w:val="99"/>
    <w:unhideWhenUsed/>
    <w:rsid w:val="007310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2610</Characters>
  <Application>Microsoft Office Word</Application>
  <DocSecurity>0</DocSecurity>
  <Lines>68</Lines>
  <Paragraphs>52</Paragraphs>
  <ScaleCrop>false</ScaleCrop>
  <Company>Author-it Software Corporation Ltd.</Company>
  <LinksUpToDate>false</LinksUpToDate>
  <CharactersWithSpaces>2968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ICPPRP2670 Produce offset lithographic plates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2021-07-20T06:02:00Z</dcterms:created>
  <dcterms:modified xsi:type="dcterms:W3CDTF">2021-07-20T06:02:00Z</dcterms:modified>
</cp:coreProperties>
</file>