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079" w:rsidP="00F54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ICPPRN4310 Set up for complex lithographic printing</w:t>
      </w:r>
      <w:r>
        <w:fldChar w:fldCharType="end"/>
      </w:r>
    </w:p>
    <w:p w:rsidR="00F54079" w:rsidP="00F54079">
      <w:pPr>
        <w:pStyle w:val="Version"/>
        <w:sectPr w:rsidSect="00FD2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B92" w:rsidP="00FD2B92">
      <w:pPr>
        <w:pStyle w:val="SuperHeading"/>
      </w:pPr>
      <w:r w:rsidRPr="00FD2B92">
        <w:t>ICPPRN4310 Set up for complex lithographic printing</w:t>
      </w:r>
    </w:p>
    <w:p w:rsidR="00000000" w:rsidRPr="00FD2B92" w:rsidP="00FD2B92">
      <w:pPr>
        <w:pStyle w:val="Heading1"/>
      </w:pPr>
      <w:bookmarkStart w:id="1" w:name="O_1074198"/>
      <w:bookmarkEnd w:id="1"/>
      <w:r w:rsidRPr="00FD2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D2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rPr>
                <w:rStyle w:val="SpecialBold"/>
              </w:rPr>
              <w:t>Comments</w:t>
            </w:r>
          </w:p>
        </w:tc>
      </w:tr>
      <w:tr w:rsidTr="00FD2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t>This version first released with ICP Printing and Graphic Arts Training Package Version 4.0.</w:t>
            </w:r>
          </w:p>
        </w:tc>
      </w:tr>
    </w:tbl>
    <w:p w:rsidR="00000000" w:rsidRPr="00FD2B92" w:rsidP="00FD2B92">
      <w:pPr>
        <w:pStyle w:val="BodyText"/>
      </w:pPr>
    </w:p>
    <w:p w:rsidR="00000000" w:rsidRPr="00FD2B92" w:rsidP="00FD2B92">
      <w:pPr>
        <w:pStyle w:val="AllowPageBreak"/>
      </w:pPr>
    </w:p>
    <w:p w:rsidR="00000000" w:rsidRPr="00FD2B92" w:rsidP="00FD2B92">
      <w:pPr>
        <w:pStyle w:val="Heading1"/>
      </w:pPr>
      <w:bookmarkStart w:id="2" w:name="O_1074204"/>
      <w:bookmarkEnd w:id="2"/>
      <w:r w:rsidRPr="00FD2B92">
        <w:t>Application</w:t>
      </w:r>
    </w:p>
    <w:p w:rsidR="00000000" w:rsidRPr="00FD2B92" w:rsidP="00F54079">
      <w:pPr>
        <w:pStyle w:val="BodyText"/>
      </w:pPr>
      <w:r w:rsidRPr="00FD2B92">
        <w:t>This unit describes the skills and knowledge required to set up options,</w:t>
      </w:r>
      <w:r w:rsidRPr="00FD2B92">
        <w:t xml:space="preserve"> and then set up either wide or narrow reel or sheet-fed lithographic printing machines for non-routine print jobs. It includes the ability to conduct a proof run and adjust settings to ensure production speeds are attained in minimum time with minimum was</w:t>
      </w:r>
      <w:r w:rsidRPr="00FD2B92">
        <w:t>tage.</w:t>
      </w:r>
    </w:p>
    <w:p w:rsidR="00000000" w:rsidRPr="00FD2B92" w:rsidP="00F54079">
      <w:pPr>
        <w:pStyle w:val="BodyText"/>
      </w:pPr>
      <w:r w:rsidRPr="00FD2B92">
        <w:t>It applies to individuals working as print machinists in the printing and graphic arts industry. They prepare material, set up, monitor and operate equipment and machinery, apply solutions to a defined range of problems associated with the print medi</w:t>
      </w:r>
      <w:r w:rsidRPr="00FD2B92">
        <w:t>um, and analyse and evaluate information from a variety of sources. They may also provide leadership and guidance to others with some limited responsibility for the output of others.</w:t>
      </w:r>
    </w:p>
    <w:p w:rsidR="00000000" w:rsidRPr="00FD2B92" w:rsidP="00F54079">
      <w:pPr>
        <w:pStyle w:val="BodyText"/>
      </w:pPr>
      <w:r w:rsidRPr="00FD2B92">
        <w:t>No licensing, legislative or certification requirements apply to this uni</w:t>
      </w:r>
      <w:r w:rsidRPr="00FD2B92">
        <w:t>t at the time of publication.</w:t>
      </w:r>
    </w:p>
    <w:p w:rsidR="00000000" w:rsidRPr="00FD2B92" w:rsidP="00FD2B92">
      <w:pPr>
        <w:pStyle w:val="Heading1"/>
      </w:pPr>
      <w:bookmarkStart w:id="3" w:name="O_1074203"/>
      <w:bookmarkEnd w:id="3"/>
      <w:r w:rsidRPr="00FD2B92">
        <w:t>Unit Sector</w:t>
      </w:r>
    </w:p>
    <w:p w:rsidR="00000000" w:rsidRPr="00FD2B92" w:rsidP="00F54079">
      <w:pPr>
        <w:pStyle w:val="BodyText"/>
      </w:pPr>
      <w:r w:rsidRPr="00FD2B92">
        <w:t>Printing</w:t>
      </w:r>
    </w:p>
    <w:p w:rsidR="00000000" w:rsidRPr="00FD2B92" w:rsidP="00FD2B92">
      <w:pPr>
        <w:pStyle w:val="Heading1"/>
      </w:pPr>
      <w:bookmarkStart w:id="4" w:name="O_1074202"/>
      <w:bookmarkEnd w:id="4"/>
      <w:r w:rsidRPr="00FD2B9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D2B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rPr>
                <w:rStyle w:val="SpecialBold"/>
              </w:rPr>
              <w:t>PERFORMANCE CRITERIA</w:t>
            </w:r>
          </w:p>
        </w:tc>
      </w:tr>
      <w:tr w:rsidTr="00FD2B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B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t xml:space="preserve">1.1 Identify job requirements </w:t>
            </w:r>
          </w:p>
          <w:p w:rsidR="00000000" w:rsidRPr="00FD2B92" w:rsidP="00FD2B92">
            <w:pPr>
              <w:pStyle w:val="BodyText"/>
            </w:pPr>
            <w:r w:rsidRPr="00FD2B92">
              <w:t xml:space="preserve">1.2 Set up required printing machinery according to manufacturer specifications </w:t>
            </w:r>
          </w:p>
          <w:p w:rsidR="00000000" w:rsidRPr="00FD2B92" w:rsidP="00FD2B92">
            <w:pPr>
              <w:pStyle w:val="BodyText"/>
            </w:pPr>
            <w:r w:rsidRPr="00FD2B92">
              <w:t xml:space="preserve">1.3 Confirm availability of </w:t>
            </w:r>
            <w:r w:rsidRPr="00FD2B92">
              <w:t>all job components</w:t>
            </w:r>
          </w:p>
          <w:p w:rsidR="00000000" w:rsidRPr="00FD2B92" w:rsidP="00FD2B92">
            <w:pPr>
              <w:pStyle w:val="BodyText"/>
            </w:pPr>
            <w:r w:rsidRPr="00FD2B92">
              <w:t>1.4 Set up and adjust delivery systems</w:t>
            </w:r>
          </w:p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 xml:space="preserve">1.5 Add substrate to and remove substrate from process according </w:t>
            </w:r>
            <w:r w:rsidRPr="00FD2B92">
              <w:t>to job specifications</w:t>
            </w:r>
          </w:p>
        </w:tc>
      </w:tr>
      <w:tr w:rsidTr="00FD2B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2. Select and prepare inks and additives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t>2.1 Select inks, dyes and additives req</w:t>
            </w:r>
            <w:r w:rsidRPr="00FD2B92">
              <w:t>uired according to job specifications and end-user requirements and confirm they meet quality requirements</w:t>
            </w:r>
          </w:p>
          <w:p w:rsidR="00000000" w:rsidRPr="00FD2B92" w:rsidP="00FD2B92">
            <w:pPr>
              <w:pStyle w:val="BodyText"/>
            </w:pPr>
            <w:r w:rsidRPr="00FD2B92">
              <w:t xml:space="preserve">2.2 Prepare inks, dyes and additives according to work health and safety (WHS) requirements, and manufacturer specifications </w:t>
            </w:r>
          </w:p>
          <w:p w:rsidR="00000000" w:rsidRPr="00FD2B92" w:rsidP="00FD2B92">
            <w:pPr>
              <w:pStyle w:val="BodyText"/>
            </w:pPr>
            <w:r w:rsidRPr="00FD2B92">
              <w:t>2.3 Mix and prepare col</w:t>
            </w:r>
            <w:r w:rsidRPr="00FD2B92">
              <w:t>our and volume of ink to match requirements of the printing process and job specifications</w:t>
            </w:r>
          </w:p>
          <w:p w:rsidR="00000000" w:rsidRPr="00FD2B92" w:rsidP="00FD2B92">
            <w:pPr>
              <w:pStyle w:val="BodyText"/>
            </w:pPr>
            <w:r w:rsidRPr="00FD2B92">
              <w:t>2.4 Approve and record formulation of ink, colour match and approved colour</w:t>
            </w:r>
          </w:p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 xml:space="preserve">2.5 Label, handle and store inks, dyes and additives </w:t>
            </w:r>
          </w:p>
        </w:tc>
      </w:tr>
      <w:tr w:rsidTr="00FD2B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3. Set up machine for complex lith</w:t>
            </w:r>
            <w:r w:rsidRPr="00FD2B92">
              <w:t>ographic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t xml:space="preserve">3.1 Prepare and adjust plate cylinder </w:t>
            </w:r>
          </w:p>
          <w:p w:rsidR="00000000" w:rsidRPr="00FD2B92" w:rsidP="00FD2B92">
            <w:pPr>
              <w:pStyle w:val="BodyText"/>
            </w:pPr>
            <w:r w:rsidRPr="00FD2B92">
              <w:t>3.2 Mount plates according to machine specifications</w:t>
            </w:r>
          </w:p>
          <w:p w:rsidR="00000000" w:rsidRPr="00FD2B92" w:rsidP="00FD2B92">
            <w:pPr>
              <w:pStyle w:val="BodyText"/>
            </w:pPr>
            <w:r w:rsidRPr="00FD2B92">
              <w:t>3.3 Prepare and adjust blanket and blanket cylinder</w:t>
            </w:r>
          </w:p>
          <w:p w:rsidR="00000000" w:rsidRPr="00FD2B92" w:rsidP="00FD2B92">
            <w:pPr>
              <w:pStyle w:val="BodyText"/>
            </w:pPr>
            <w:r w:rsidRPr="00FD2B92">
              <w:t xml:space="preserve">3.4 Prepare and adjust impression cylinder </w:t>
            </w:r>
          </w:p>
          <w:p w:rsidR="00000000" w:rsidRPr="00FD2B92" w:rsidP="00FD2B92">
            <w:pPr>
              <w:pStyle w:val="BodyText"/>
            </w:pPr>
            <w:r w:rsidRPr="00FD2B92">
              <w:t xml:space="preserve">3.5 Set up and adjust inking system </w:t>
            </w:r>
          </w:p>
          <w:p w:rsidR="00000000" w:rsidRPr="00FD2B92" w:rsidP="00FD2B92">
            <w:pPr>
              <w:pStyle w:val="BodyText"/>
            </w:pPr>
            <w:r w:rsidRPr="00FD2B92">
              <w:t>3.6 Set up an</w:t>
            </w:r>
            <w:r w:rsidRPr="00FD2B92">
              <w:t xml:space="preserve">d adjust dampening system </w:t>
            </w:r>
          </w:p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3.7 Set up and adjust drying system</w:t>
            </w:r>
          </w:p>
        </w:tc>
      </w:tr>
      <w:tr w:rsidTr="00FD2B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4.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t>4.1 Operate machine according to manufacturer specifications and enterprise procedures to produce specified proof</w:t>
            </w:r>
          </w:p>
          <w:p w:rsidR="00000000" w:rsidRPr="00FD2B92" w:rsidP="00FD2B92">
            <w:pPr>
              <w:pStyle w:val="BodyText"/>
            </w:pPr>
            <w:r w:rsidRPr="00FD2B92">
              <w:t>4.2 Inspect and test proof as required according to enter</w:t>
            </w:r>
            <w:r w:rsidRPr="00FD2B92">
              <w:t xml:space="preserve">prise procedures </w:t>
            </w:r>
          </w:p>
          <w:p w:rsidR="00000000" w:rsidRPr="00FD2B92" w:rsidP="00FD2B92">
            <w:pPr>
              <w:pStyle w:val="BodyText"/>
            </w:pPr>
            <w:r w:rsidRPr="00FD2B92">
              <w:t>4.3 Seek client approval and authority prior to the production run as required</w:t>
            </w:r>
          </w:p>
          <w:p w:rsidR="00000000" w:rsidRPr="00FD2B92" w:rsidP="00FD2B92">
            <w:pPr>
              <w:pStyle w:val="BodyText"/>
            </w:pPr>
            <w:r w:rsidRPr="00FD2B92">
              <w:t>4.4 Interpret results and make adjustments according to product and machine specifications as required</w:t>
            </w:r>
          </w:p>
        </w:tc>
      </w:tr>
    </w:tbl>
    <w:p w:rsidR="00000000" w:rsidRPr="00FD2B92" w:rsidP="00FD2B92">
      <w:pPr>
        <w:pStyle w:val="BodyText"/>
      </w:pPr>
    </w:p>
    <w:p w:rsidR="00000000" w:rsidRPr="00FD2B92" w:rsidP="00FD2B92">
      <w:pPr>
        <w:pStyle w:val="AllowPageBreak"/>
      </w:pPr>
    </w:p>
    <w:p w:rsidR="00000000" w:rsidRPr="00FD2B92" w:rsidP="00FD2B92">
      <w:pPr>
        <w:pStyle w:val="Heading1"/>
      </w:pPr>
      <w:bookmarkStart w:id="5" w:name="O_1074201"/>
      <w:bookmarkEnd w:id="5"/>
      <w:r w:rsidRPr="00FD2B92">
        <w:t>Foundation Skills</w:t>
      </w:r>
    </w:p>
    <w:p w:rsidR="00000000" w:rsidRPr="00F54079" w:rsidP="00F54079">
      <w:pPr>
        <w:pStyle w:val="BodyText"/>
        <w:rPr>
          <w:i/>
        </w:rPr>
      </w:pPr>
      <w:r w:rsidRPr="00F540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D2B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rPr>
                <w:rStyle w:val="SpecialBold"/>
              </w:rPr>
              <w:t>Description</w:t>
            </w:r>
          </w:p>
        </w:tc>
      </w:tr>
      <w:tr w:rsidTr="00FD2B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ListBullet"/>
              <w:rPr>
                <w:lang w:val="en-NZ"/>
              </w:rPr>
            </w:pPr>
            <w:r w:rsidRPr="00FD2B92">
              <w:t>Completes forms and labels according to workplace requirements</w:t>
            </w:r>
          </w:p>
        </w:tc>
      </w:tr>
      <w:tr w:rsidTr="00FD2B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Self</w:t>
            </w:r>
            <w:r w:rsidRPr="00FD2B92">
              <w:t xml:space="preserve">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ListBullet"/>
              <w:rPr>
                <w:lang w:val="en-NZ"/>
              </w:rPr>
            </w:pPr>
            <w:r w:rsidRPr="00FD2B92">
              <w:t>Complies with enterprise procedures relevant to own role</w:t>
            </w:r>
          </w:p>
        </w:tc>
      </w:tr>
      <w:tr w:rsidTr="00FD2B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ListBullet"/>
              <w:rPr>
                <w:lang w:val="en-NZ"/>
              </w:rPr>
            </w:pPr>
            <w:r w:rsidRPr="00FD2B92">
              <w:t>Follows accepted communication practices and protocols when seeking approval</w:t>
            </w:r>
          </w:p>
        </w:tc>
      </w:tr>
      <w:tr w:rsidTr="00FD2B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ListBullet"/>
              <w:rPr>
                <w:lang w:val="en-NZ"/>
              </w:rPr>
            </w:pPr>
            <w:r w:rsidRPr="00FD2B92">
              <w:t>With assistance, determines priorities and sequences steps involved in clearly defined, familiar tasks and identifies and assembles required resources</w:t>
            </w:r>
          </w:p>
        </w:tc>
      </w:tr>
      <w:tr w:rsidTr="00FD2B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ListBullet"/>
              <w:rPr>
                <w:lang w:val="en-NZ"/>
              </w:rPr>
            </w:pPr>
            <w:r w:rsidRPr="00FD2B92">
              <w:t xml:space="preserve">Responds to predictable problems and implements standard or logical solutions related </w:t>
            </w:r>
            <w:r w:rsidRPr="00FD2B92">
              <w:t>to role in immediate work environment</w:t>
            </w:r>
          </w:p>
        </w:tc>
      </w:tr>
      <w:tr w:rsidTr="00FD2B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B92">
            <w:pPr>
              <w:pStyle w:val="BodyText"/>
              <w:rPr>
                <w:lang w:val="en-NZ"/>
              </w:rPr>
            </w:pPr>
            <w:r w:rsidRPr="00FD2B92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ListBullet"/>
            </w:pPr>
            <w:r w:rsidRPr="00FD2B92">
              <w:t>Reads data from electronic monitoring and control systems</w:t>
            </w:r>
          </w:p>
        </w:tc>
      </w:tr>
    </w:tbl>
    <w:p w:rsidR="00000000" w:rsidRPr="00FD2B92" w:rsidP="00FD2B92">
      <w:pPr>
        <w:pStyle w:val="BodyText"/>
      </w:pPr>
    </w:p>
    <w:p w:rsidR="00000000" w:rsidRPr="00FD2B92" w:rsidP="00FD2B92">
      <w:pPr>
        <w:pStyle w:val="AllowPageBreak"/>
      </w:pPr>
    </w:p>
    <w:p w:rsidR="00000000" w:rsidRPr="00FD2B92" w:rsidP="00FD2B92">
      <w:pPr>
        <w:pStyle w:val="Heading1"/>
      </w:pPr>
      <w:bookmarkStart w:id="6" w:name="O_1074200"/>
      <w:bookmarkEnd w:id="6"/>
      <w:r w:rsidRPr="00FD2B92">
        <w:t>Range of Conditions</w:t>
      </w:r>
    </w:p>
    <w:p w:rsidR="00000000" w:rsidRPr="00F54079" w:rsidP="00F54079">
      <w:pPr>
        <w:pStyle w:val="BodyText"/>
        <w:rPr>
          <w:i/>
        </w:rPr>
      </w:pPr>
      <w:r w:rsidRPr="00F54079">
        <w:rPr>
          <w:rStyle w:val="Emphasis"/>
        </w:rPr>
        <w:t xml:space="preserve">This section specifies different work environments and conditions that may affect performance. Essential </w:t>
      </w:r>
      <w:r w:rsidRPr="00F54079">
        <w:rPr>
          <w:rStyle w:val="Emphasis"/>
        </w:rPr>
        <w:t xml:space="preserve">operating conditions that may be present (depending 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5"/>
        <w:gridCol w:w="5529"/>
      </w:tblGrid>
      <w:tr w:rsidTr="00FD2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t>Delivery systems must include either:</w:t>
            </w:r>
          </w:p>
          <w:p w:rsidR="00000000" w:rsidP="00FD2B92">
            <w:pPr>
              <w:pStyle w:val="BodyText"/>
              <w:rPr>
                <w:lang w:val="en-NZ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ListBullet"/>
            </w:pPr>
            <w:r w:rsidRPr="00FD2B92">
              <w:t xml:space="preserve">reel </w:t>
            </w:r>
          </w:p>
          <w:p w:rsidR="00000000" w:rsidRPr="00FD2B92" w:rsidP="00FD2B92">
            <w:pPr>
              <w:pStyle w:val="BodyText"/>
            </w:pPr>
            <w:r w:rsidRPr="00FD2B92">
              <w:t>or</w:t>
            </w:r>
          </w:p>
          <w:p w:rsidR="00000000" w:rsidP="00FD2B92">
            <w:pPr>
              <w:pStyle w:val="ListBullet"/>
              <w:rPr>
                <w:lang w:val="en-NZ"/>
              </w:rPr>
            </w:pPr>
            <w:r w:rsidRPr="00FD2B92">
              <w:t>sheet</w:t>
            </w:r>
          </w:p>
        </w:tc>
      </w:tr>
      <w:tr w:rsidTr="00FD2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BodyText"/>
            </w:pPr>
            <w:r w:rsidRPr="00FD2B92">
              <w:t>Setting and adjusting must include either:</w:t>
            </w:r>
          </w:p>
          <w:p w:rsidR="00000000" w:rsidP="00FD2B92">
            <w:pPr>
              <w:pStyle w:val="BodyText"/>
              <w:rPr>
                <w:lang w:val="en-NZ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B92" w:rsidP="00FD2B92">
            <w:pPr>
              <w:pStyle w:val="ListBullet"/>
            </w:pPr>
            <w:r w:rsidRPr="00FD2B92">
              <w:t>set up options for unwind and rewind reels</w:t>
            </w:r>
          </w:p>
          <w:p w:rsidR="00000000" w:rsidRPr="00FD2B92" w:rsidP="00FD2B92">
            <w:pPr>
              <w:pStyle w:val="ListBullet"/>
            </w:pPr>
            <w:r w:rsidRPr="00FD2B92">
              <w:t>webbing procedures and web control system</w:t>
            </w:r>
          </w:p>
          <w:p w:rsidR="00000000" w:rsidRPr="00FD2B92" w:rsidP="00FD2B92">
            <w:pPr>
              <w:pStyle w:val="ListBullet"/>
            </w:pPr>
            <w:r w:rsidRPr="00FD2B92">
              <w:t>splicing/joining reels</w:t>
            </w:r>
          </w:p>
          <w:p w:rsidR="00000000" w:rsidRPr="00FD2B92" w:rsidP="00FD2B92">
            <w:pPr>
              <w:pStyle w:val="ListBullet"/>
            </w:pPr>
            <w:r w:rsidRPr="00FD2B92">
              <w:t>printed web viewing devices</w:t>
            </w:r>
          </w:p>
          <w:p w:rsidR="00000000" w:rsidRPr="00FD2B92" w:rsidP="00FD2B92">
            <w:pPr>
              <w:pStyle w:val="ListBullet"/>
            </w:pPr>
            <w:r w:rsidRPr="00FD2B92">
              <w:t>folder and sheeter</w:t>
            </w:r>
          </w:p>
          <w:p w:rsidR="00000000" w:rsidRPr="00FD2B92" w:rsidP="00FD2B92">
            <w:pPr>
              <w:pStyle w:val="ListBullet"/>
            </w:pPr>
            <w:r w:rsidRPr="00FD2B92">
              <w:t xml:space="preserve">set off / marking prevention devices </w:t>
            </w:r>
          </w:p>
          <w:p w:rsidR="00000000" w:rsidRPr="00FD2B92" w:rsidP="00FD2B92">
            <w:pPr>
              <w:pStyle w:val="BodyText"/>
            </w:pPr>
            <w:r w:rsidRPr="00FD2B92">
              <w:t>or</w:t>
            </w:r>
          </w:p>
          <w:p w:rsidR="00000000" w:rsidRPr="00FD2B92" w:rsidP="00FD2B92">
            <w:pPr>
              <w:pStyle w:val="ListBullet"/>
            </w:pPr>
            <w:r w:rsidRPr="00FD2B92">
              <w:t>feeder and del</w:t>
            </w:r>
            <w:r w:rsidRPr="00FD2B92">
              <w:t>ivery sections</w:t>
            </w:r>
          </w:p>
          <w:p w:rsidR="00000000" w:rsidRPr="00FD2B92" w:rsidP="00FD2B92">
            <w:pPr>
              <w:pStyle w:val="ListBullet"/>
            </w:pPr>
            <w:r w:rsidRPr="00FD2B92">
              <w:t>sheet pick-up, transportation and control and transfer systems</w:t>
            </w:r>
          </w:p>
          <w:p w:rsidR="00000000" w:rsidRPr="00FD2B92" w:rsidP="00FD2B92">
            <w:pPr>
              <w:pStyle w:val="ListBullet"/>
            </w:pPr>
            <w:r w:rsidRPr="00FD2B92">
              <w:t>set off / marking prevention devices</w:t>
            </w:r>
          </w:p>
        </w:tc>
      </w:tr>
    </w:tbl>
    <w:p w:rsidR="00000000" w:rsidRPr="00FD2B92" w:rsidP="00FD2B92">
      <w:pPr>
        <w:pStyle w:val="BodyText"/>
      </w:pPr>
    </w:p>
    <w:p w:rsidR="00000000" w:rsidRPr="00FD2B92" w:rsidP="00FD2B92">
      <w:pPr>
        <w:pStyle w:val="AllowPageBreak"/>
      </w:pPr>
    </w:p>
    <w:p w:rsidR="00000000" w:rsidRPr="00FD2B92" w:rsidP="00FD2B92">
      <w:pPr>
        <w:pStyle w:val="Heading1"/>
      </w:pPr>
      <w:bookmarkStart w:id="7" w:name="O_1074199"/>
      <w:bookmarkEnd w:id="7"/>
      <w:r w:rsidRPr="00FD2B92">
        <w:t>Unit Mapping Information</w:t>
      </w:r>
    </w:p>
    <w:p w:rsidR="00000000" w:rsidRPr="00FD2B92" w:rsidP="00F54079">
      <w:pPr>
        <w:pStyle w:val="BodyText"/>
      </w:pPr>
      <w:r w:rsidRPr="00FD2B92">
        <w:t>Supersedes and is equivalent to ICPPRN431 Set up for complex lithographic printing.</w:t>
      </w:r>
    </w:p>
    <w:p w:rsidR="00000000" w:rsidRPr="00FD2B92" w:rsidP="00FD2B92">
      <w:pPr>
        <w:pStyle w:val="Heading1"/>
      </w:pPr>
      <w:bookmarkStart w:id="8" w:name="O_1074192"/>
      <w:bookmarkEnd w:id="8"/>
      <w:r w:rsidRPr="00FD2B92">
        <w:t>Links</w:t>
      </w:r>
    </w:p>
    <w:p w:rsidR="00000000" w:rsidRPr="00FD2B92" w:rsidP="00F54079">
      <w:pPr>
        <w:pStyle w:val="BodyText"/>
      </w:pPr>
      <w:r w:rsidRPr="00FD2B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F6B8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2B92" w:rsidP="00FD2B92"/>
    <w:sectPr w:rsidSect="00FD2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92" w:rsidRPr="00F54079" w:rsidP="00F54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79" w:rsidP="00FD2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079" w:rsidP="00FD2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4079" w:rsidP="00FD2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B92" w:rsidRPr="00F54079" w:rsidP="00F54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79" w:rsidRPr="002D2AF8" w:rsidP="00FD2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ICPPRN4310 Set up for complex lithographic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54079" w:rsidP="00FD2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C06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444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B92"/>
  </w:style>
  <w:style w:type="character" w:customStyle="1" w:styleId="Heading1Char">
    <w:name w:val="Heading 1 Char"/>
    <w:basedOn w:val="DefaultParagraphFont"/>
    <w:link w:val="Heading1"/>
    <w:rsid w:val="00FD2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B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B92"/>
    <w:rPr>
      <w:b/>
      <w:spacing w:val="0"/>
    </w:rPr>
  </w:style>
  <w:style w:type="character" w:styleId="Emphasis">
    <w:name w:val="Emphasis"/>
    <w:basedOn w:val="DefaultParagraphFont"/>
    <w:qFormat/>
    <w:rsid w:val="00FD2B92"/>
    <w:rPr>
      <w:i/>
    </w:rPr>
  </w:style>
  <w:style w:type="paragraph" w:customStyle="1" w:styleId="SuperHeading">
    <w:name w:val="SuperHeading"/>
    <w:basedOn w:val="Normal"/>
    <w:rsid w:val="00FD2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B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B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B92"/>
  </w:style>
  <w:style w:type="paragraph" w:styleId="TableofFigures">
    <w:name w:val="table of figures"/>
    <w:basedOn w:val="Normal"/>
    <w:next w:val="Normal"/>
    <w:semiHidden/>
    <w:rsid w:val="00FD2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B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B92"/>
    <w:rPr>
      <w:rFonts w:ascii="Wingdings" w:hAnsi="Wingdings"/>
    </w:rPr>
  </w:style>
  <w:style w:type="paragraph" w:customStyle="1" w:styleId="TableHeading">
    <w:name w:val="Table Heading"/>
    <w:basedOn w:val="HeadingBase"/>
    <w:rsid w:val="00FD2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B92"/>
    <w:rPr>
      <w:color w:val="0033CC"/>
      <w:u w:val="none"/>
    </w:rPr>
  </w:style>
  <w:style w:type="paragraph" w:customStyle="1" w:styleId="BodyTextRight">
    <w:name w:val="Body Text Right"/>
    <w:basedOn w:val="BodyText"/>
    <w:rsid w:val="00FD2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B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B92"/>
    <w:rPr>
      <w:sz w:val="32"/>
    </w:rPr>
  </w:style>
  <w:style w:type="paragraph" w:customStyle="1" w:styleId="HeadingProcedure">
    <w:name w:val="Heading Procedure"/>
    <w:basedOn w:val="HeadingBase"/>
    <w:next w:val="Normal"/>
    <w:rsid w:val="00FD2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B92"/>
    <w:pPr>
      <w:spacing w:before="60" w:after="60"/>
    </w:pPr>
  </w:style>
  <w:style w:type="paragraph" w:styleId="ListContinue">
    <w:name w:val="List Continue"/>
    <w:basedOn w:val="List"/>
    <w:rsid w:val="00FD2B92"/>
    <w:pPr>
      <w:ind w:firstLine="0"/>
    </w:pPr>
  </w:style>
  <w:style w:type="paragraph" w:customStyle="1" w:styleId="ListNote">
    <w:name w:val="List Note"/>
    <w:basedOn w:val="List"/>
    <w:rsid w:val="00FD2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B92"/>
    <w:rPr>
      <w:rFonts w:ascii="Courier New" w:hAnsi="Courier New"/>
    </w:rPr>
  </w:style>
  <w:style w:type="paragraph" w:customStyle="1" w:styleId="NoteBullet">
    <w:name w:val="Note Bullet"/>
    <w:basedOn w:val="Note"/>
    <w:rsid w:val="00FD2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B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B92"/>
    <w:rPr>
      <w:b/>
      <w:smallCaps/>
    </w:rPr>
  </w:style>
  <w:style w:type="paragraph" w:customStyle="1" w:styleId="TableListNumber">
    <w:name w:val="Table List Number"/>
    <w:basedOn w:val="ListNumber"/>
    <w:rsid w:val="00FD2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B92"/>
    <w:pPr>
      <w:numPr>
        <w:numId w:val="8"/>
      </w:numPr>
    </w:pPr>
  </w:style>
  <w:style w:type="paragraph" w:customStyle="1" w:styleId="ListAlpha2">
    <w:name w:val="List Alpha 2"/>
    <w:basedOn w:val="List2"/>
    <w:rsid w:val="00FD2B92"/>
    <w:pPr>
      <w:numPr>
        <w:numId w:val="7"/>
      </w:numPr>
    </w:pPr>
  </w:style>
  <w:style w:type="paragraph" w:styleId="List2">
    <w:name w:val="List 2"/>
    <w:basedOn w:val="BodyText"/>
    <w:rsid w:val="00FD2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B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B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B92"/>
    <w:pPr>
      <w:numPr>
        <w:numId w:val="3"/>
      </w:numPr>
    </w:pPr>
  </w:style>
  <w:style w:type="paragraph" w:styleId="ListContinue2">
    <w:name w:val="List Continue 2"/>
    <w:basedOn w:val="List2"/>
    <w:rsid w:val="00FD2B92"/>
    <w:pPr>
      <w:ind w:firstLine="0"/>
    </w:pPr>
  </w:style>
  <w:style w:type="paragraph" w:styleId="ListContinue3">
    <w:name w:val="List Continue 3"/>
    <w:basedOn w:val="List3"/>
    <w:rsid w:val="00FD2B92"/>
    <w:pPr>
      <w:ind w:left="1021" w:firstLine="0"/>
    </w:pPr>
  </w:style>
  <w:style w:type="paragraph" w:styleId="ListContinue4">
    <w:name w:val="List Continue 4"/>
    <w:basedOn w:val="List4"/>
    <w:rsid w:val="00FD2B92"/>
    <w:pPr>
      <w:ind w:firstLine="0"/>
    </w:pPr>
  </w:style>
  <w:style w:type="paragraph" w:styleId="ListContinue5">
    <w:name w:val="List Continue 5"/>
    <w:basedOn w:val="List5"/>
    <w:rsid w:val="00FD2B92"/>
    <w:pPr>
      <w:ind w:firstLine="0"/>
    </w:pPr>
  </w:style>
  <w:style w:type="paragraph" w:styleId="ListNumber3">
    <w:name w:val="List Number 3"/>
    <w:basedOn w:val="List3"/>
    <w:rsid w:val="00FD2B92"/>
    <w:pPr>
      <w:numPr>
        <w:numId w:val="4"/>
      </w:numPr>
    </w:pPr>
  </w:style>
  <w:style w:type="paragraph" w:styleId="ListNumber4">
    <w:name w:val="List Number 4"/>
    <w:basedOn w:val="List4"/>
    <w:rsid w:val="00FD2B92"/>
    <w:pPr>
      <w:numPr>
        <w:numId w:val="5"/>
      </w:numPr>
    </w:pPr>
  </w:style>
  <w:style w:type="paragraph" w:styleId="ListNumber5">
    <w:name w:val="List Number 5"/>
    <w:basedOn w:val="List5"/>
    <w:rsid w:val="00FD2B92"/>
    <w:pPr>
      <w:numPr>
        <w:numId w:val="6"/>
      </w:numPr>
    </w:pPr>
  </w:style>
  <w:style w:type="paragraph" w:styleId="BlockText">
    <w:name w:val="Block Text"/>
    <w:basedOn w:val="Normal"/>
    <w:rsid w:val="00FD2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B92"/>
    <w:rPr>
      <w:sz w:val="16"/>
      <w:vertAlign w:val="superscript"/>
    </w:rPr>
  </w:style>
  <w:style w:type="character" w:customStyle="1" w:styleId="Symbols">
    <w:name w:val="Symbols"/>
    <w:basedOn w:val="DefaultParagraphFont"/>
    <w:rsid w:val="00FD2B92"/>
    <w:rPr>
      <w:rFonts w:ascii="Symbol" w:hAnsi="Symbol"/>
    </w:rPr>
  </w:style>
  <w:style w:type="character" w:customStyle="1" w:styleId="MenuOptions">
    <w:name w:val="Menu Options"/>
    <w:basedOn w:val="DefaultParagraphFont"/>
    <w:rsid w:val="00FD2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B92"/>
    <w:rPr>
      <w:b/>
    </w:rPr>
  </w:style>
  <w:style w:type="character" w:customStyle="1" w:styleId="Underlined">
    <w:name w:val="Underlined"/>
    <w:basedOn w:val="DefaultParagraphFont"/>
    <w:rsid w:val="00FD2B92"/>
    <w:rPr>
      <w:u w:val="single"/>
    </w:rPr>
  </w:style>
  <w:style w:type="paragraph" w:customStyle="1" w:styleId="TableBodyTextRight">
    <w:name w:val="Table Body Text Right"/>
    <w:basedOn w:val="TableBodyText"/>
    <w:rsid w:val="00FD2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B92"/>
    <w:rPr>
      <w:sz w:val="18"/>
    </w:rPr>
  </w:style>
  <w:style w:type="paragraph" w:customStyle="1" w:styleId="BodySmallRight">
    <w:name w:val="Body Small Right"/>
    <w:basedOn w:val="BodyTextRight"/>
    <w:rsid w:val="00FD2B92"/>
    <w:rPr>
      <w:sz w:val="18"/>
      <w:szCs w:val="18"/>
    </w:rPr>
  </w:style>
  <w:style w:type="paragraph" w:customStyle="1" w:styleId="MarginEdition">
    <w:name w:val="Margin Edition"/>
    <w:basedOn w:val="MarginNote"/>
    <w:rsid w:val="00FD2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B92"/>
    <w:rPr>
      <w:sz w:val="2"/>
      <w:szCs w:val="2"/>
    </w:rPr>
  </w:style>
  <w:style w:type="character" w:customStyle="1" w:styleId="Small">
    <w:name w:val="Small"/>
    <w:basedOn w:val="DefaultParagraphFont"/>
    <w:rsid w:val="00FD2B92"/>
    <w:rPr>
      <w:sz w:val="16"/>
    </w:rPr>
  </w:style>
  <w:style w:type="paragraph" w:customStyle="1" w:styleId="WideTable">
    <w:name w:val="Wide Table"/>
    <w:basedOn w:val="Normal"/>
    <w:rsid w:val="00FD2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B92"/>
  </w:style>
  <w:style w:type="paragraph" w:styleId="Quote">
    <w:name w:val="Quote"/>
    <w:basedOn w:val="Heading1"/>
    <w:link w:val="QuoteChar"/>
    <w:qFormat/>
    <w:rsid w:val="00FD2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B92"/>
    <w:pPr>
      <w:pageBreakBefore/>
    </w:pPr>
  </w:style>
  <w:style w:type="paragraph" w:customStyle="1" w:styleId="Border">
    <w:name w:val="Border"/>
    <w:basedOn w:val="Normal"/>
    <w:qFormat/>
    <w:rsid w:val="00FD2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B92"/>
    <w:rPr>
      <w:u w:val="single"/>
    </w:rPr>
  </w:style>
  <w:style w:type="character" w:customStyle="1" w:styleId="BoldandItalics">
    <w:name w:val="Bold and Italics"/>
    <w:qFormat/>
    <w:rsid w:val="00FD2B92"/>
    <w:rPr>
      <w:b/>
      <w:i/>
      <w:u w:val="none"/>
    </w:rPr>
  </w:style>
  <w:style w:type="paragraph" w:styleId="BalloonText">
    <w:name w:val="Balloon Text"/>
    <w:basedOn w:val="Normal"/>
    <w:link w:val="BalloonTextChar"/>
    <w:rsid w:val="00FD2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B92"/>
    <w:pPr>
      <w:spacing w:before="0" w:after="0"/>
    </w:pPr>
  </w:style>
  <w:style w:type="paragraph" w:customStyle="1" w:styleId="BodyTextBold">
    <w:name w:val="Body Text Bold"/>
    <w:basedOn w:val="BodyText"/>
    <w:qFormat/>
    <w:rsid w:val="00FD2B92"/>
    <w:rPr>
      <w:b/>
    </w:rPr>
  </w:style>
  <w:style w:type="character" w:styleId="Hyperlink">
    <w:name w:val="Hyperlink"/>
    <w:basedOn w:val="DefaultParagraphFont"/>
    <w:uiPriority w:val="99"/>
    <w:unhideWhenUsed/>
    <w:rsid w:val="00F54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4264</Characters>
  <Application>Microsoft Office Word</Application>
  <DocSecurity>0</DocSecurity>
  <Lines>142</Lines>
  <Paragraphs>97</Paragraphs>
  <ScaleCrop>false</ScaleCrop>
  <Company>Author-it Software Corporation Ltd.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ICPPRN4310 Set up for complex lithographic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