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46A" w:rsidP="009F74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ICPPRN4130 Set up for complex flexographic printing</w:t>
      </w:r>
      <w:r>
        <w:fldChar w:fldCharType="end"/>
      </w:r>
    </w:p>
    <w:p w:rsidR="009F746A" w:rsidP="009F746A">
      <w:pPr>
        <w:pStyle w:val="Version"/>
        <w:sectPr w:rsidSect="00AE3F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F04" w:rsidP="00AE3F04">
      <w:pPr>
        <w:pStyle w:val="SuperHeading"/>
      </w:pPr>
      <w:r w:rsidRPr="00AE3F04">
        <w:t>ICPPRN4130 Set up for complex flexographic printing</w:t>
      </w:r>
    </w:p>
    <w:p w:rsidR="00000000" w:rsidRPr="00AE3F04" w:rsidP="00AE3F04">
      <w:pPr>
        <w:pStyle w:val="Heading1"/>
      </w:pPr>
      <w:bookmarkStart w:id="1" w:name="O_1074166"/>
      <w:bookmarkEnd w:id="1"/>
      <w:r w:rsidRPr="00AE3F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E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04" w:rsidP="00AE3F04">
            <w:pPr>
              <w:pStyle w:val="BodyText"/>
            </w:pPr>
            <w:r w:rsidRPr="00AE3F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rPr>
                <w:rStyle w:val="SpecialBold"/>
              </w:rPr>
              <w:t>Comments</w:t>
            </w:r>
          </w:p>
        </w:tc>
      </w:tr>
      <w:tr w:rsidTr="00AE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04" w:rsidP="00AE3F04">
            <w:pPr>
              <w:pStyle w:val="BodyText"/>
            </w:pPr>
            <w:r w:rsidRPr="00AE3F04">
              <w:t>This version first released with ICP Printing and Graphic Arts Training Package Version 4.0.</w:t>
            </w:r>
          </w:p>
        </w:tc>
      </w:tr>
    </w:tbl>
    <w:p w:rsidR="00000000" w:rsidRPr="00AE3F04" w:rsidP="00AE3F04">
      <w:pPr>
        <w:pStyle w:val="BodyText"/>
      </w:pPr>
    </w:p>
    <w:p w:rsidR="00000000" w:rsidRPr="00AE3F04" w:rsidP="00AE3F04">
      <w:pPr>
        <w:pStyle w:val="AllowPageBreak"/>
      </w:pPr>
    </w:p>
    <w:p w:rsidR="00000000" w:rsidRPr="00AE3F04" w:rsidP="00AE3F04">
      <w:pPr>
        <w:pStyle w:val="Heading1"/>
      </w:pPr>
      <w:bookmarkStart w:id="2" w:name="O_1074171"/>
      <w:bookmarkEnd w:id="2"/>
      <w:r w:rsidRPr="00AE3F04">
        <w:t>Application</w:t>
      </w:r>
    </w:p>
    <w:p w:rsidR="00000000" w:rsidRPr="00AE3F04" w:rsidP="009F746A">
      <w:pPr>
        <w:pStyle w:val="BodyText"/>
      </w:pPr>
      <w:r w:rsidRPr="00AE3F04">
        <w:t>This unit describes the skills and knowledge required to set up machines</w:t>
      </w:r>
      <w:r w:rsidRPr="00AE3F04">
        <w:t xml:space="preserve"> for non-routine flexographic printing. It includes the ability to conduct a proof run and adjust settings to ensure production speeds are attained.</w:t>
      </w:r>
    </w:p>
    <w:p w:rsidR="00000000" w:rsidRPr="00AE3F04" w:rsidP="009F746A">
      <w:pPr>
        <w:pStyle w:val="BodyText"/>
      </w:pPr>
      <w:r w:rsidRPr="00AE3F04">
        <w:t>It applies to individuals working as print machinists in the printing and graphic arts industry. They prepa</w:t>
      </w:r>
      <w:r w:rsidRPr="00AE3F04">
        <w:t>re material, set up, monitor and operate equipment and machinery, apply solutions to a defined range of problems associated with the print medium, and analyse and evaluate information from a variety of sources. They may also provide leadership and guidance</w:t>
      </w:r>
      <w:r w:rsidRPr="00AE3F04">
        <w:t xml:space="preserve"> to others with some limited responsibility for the output of others.</w:t>
      </w:r>
    </w:p>
    <w:p w:rsidR="00000000" w:rsidRPr="00AE3F04" w:rsidP="009F746A">
      <w:pPr>
        <w:pStyle w:val="BodyText"/>
      </w:pPr>
      <w:r w:rsidRPr="00AE3F04">
        <w:t>No licensing, legislative or certification requirements apply to this unit at the time of publication.</w:t>
      </w:r>
    </w:p>
    <w:p w:rsidR="00000000" w:rsidRPr="00AE3F04" w:rsidP="00AE3F04">
      <w:pPr>
        <w:pStyle w:val="Heading1"/>
      </w:pPr>
      <w:bookmarkStart w:id="3" w:name="O_1074170"/>
      <w:bookmarkEnd w:id="3"/>
      <w:r w:rsidRPr="00AE3F04">
        <w:t>Unit Sector</w:t>
      </w:r>
    </w:p>
    <w:p w:rsidR="00000000" w:rsidRPr="00AE3F04" w:rsidP="009F746A">
      <w:pPr>
        <w:pStyle w:val="BodyText"/>
      </w:pPr>
      <w:r w:rsidRPr="00AE3F04">
        <w:t>Printing</w:t>
      </w:r>
    </w:p>
    <w:p w:rsidR="00000000" w:rsidRPr="00AE3F04" w:rsidP="00AE3F04">
      <w:pPr>
        <w:pStyle w:val="Heading1"/>
      </w:pPr>
      <w:bookmarkStart w:id="4" w:name="O_1074169"/>
      <w:bookmarkEnd w:id="4"/>
      <w:r w:rsidRPr="00AE3F04">
        <w:t>Elements and Performance</w:t>
      </w:r>
      <w:r w:rsidRPr="00AE3F04">
        <w:t xml:space="preserve">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AE3F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04" w:rsidP="00AE3F04">
            <w:pPr>
              <w:pStyle w:val="BodyText"/>
            </w:pPr>
            <w:r w:rsidRPr="00AE3F04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rPr>
                <w:rStyle w:val="SpecialBold"/>
              </w:rPr>
              <w:t>PERFORMANCE CRITERIA</w:t>
            </w:r>
          </w:p>
        </w:tc>
      </w:tr>
      <w:tr w:rsidTr="00AE3F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04" w:rsidP="00AE3F04">
            <w:pPr>
              <w:pStyle w:val="BodyText"/>
            </w:pPr>
            <w:r w:rsidRPr="00AE3F04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3F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04" w:rsidP="00AE3F04">
            <w:pPr>
              <w:pStyle w:val="BodyText"/>
            </w:pPr>
            <w:r w:rsidRPr="00AE3F04">
              <w:t xml:space="preserve">1.1 Identify job requirements </w:t>
            </w:r>
          </w:p>
          <w:p w:rsidR="00000000" w:rsidRPr="00AE3F04" w:rsidP="00AE3F04">
            <w:pPr>
              <w:pStyle w:val="BodyText"/>
            </w:pPr>
            <w:r w:rsidRPr="00AE3F04">
              <w:t>1.2 Set up required printing machinery according to manufacturer specifications and work health and safety (WHS) requirements</w:t>
            </w:r>
          </w:p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 xml:space="preserve">1.3 Confirm availability of all job components </w:t>
            </w:r>
          </w:p>
        </w:tc>
      </w:tr>
      <w:tr w:rsidTr="00AE3F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 xml:space="preserve">2. Set up reel transportation and delivery system on </w:t>
            </w:r>
            <w:r w:rsidRPr="00AE3F04">
              <w:t>web-fed machine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04" w:rsidP="00AE3F04">
            <w:pPr>
              <w:pStyle w:val="BodyText"/>
            </w:pPr>
            <w:r w:rsidRPr="00AE3F04">
              <w:t>2.1 Reels ar</w:t>
            </w:r>
            <w:r w:rsidRPr="00AE3F04">
              <w:t>e checked for treatment levels, coatings and printing side, and age of product</w:t>
            </w:r>
          </w:p>
          <w:p w:rsidR="00000000" w:rsidRPr="00AE3F04" w:rsidP="00AE3F04">
            <w:pPr>
              <w:pStyle w:val="BodyText"/>
            </w:pPr>
            <w:r w:rsidRPr="00AE3F04">
              <w:t>2.2 Secure unwind reels on reel shaft</w:t>
            </w:r>
          </w:p>
          <w:p w:rsidR="00000000" w:rsidRPr="00AE3F04" w:rsidP="00AE3F04">
            <w:pPr>
              <w:pStyle w:val="BodyText"/>
            </w:pPr>
            <w:r w:rsidRPr="00AE3F04">
              <w:t>2.3 Position reels on unwind stand</w:t>
            </w:r>
          </w:p>
          <w:p w:rsidR="00000000" w:rsidRPr="00AE3F04" w:rsidP="00AE3F04">
            <w:pPr>
              <w:pStyle w:val="BodyText"/>
            </w:pPr>
            <w:r w:rsidRPr="00AE3F04">
              <w:t>2.4 Web press according to non-routine job specifications</w:t>
            </w:r>
          </w:p>
          <w:p w:rsidR="00000000" w:rsidRPr="00AE3F04" w:rsidP="00AE3F04">
            <w:pPr>
              <w:pStyle w:val="BodyText"/>
            </w:pPr>
            <w:r w:rsidRPr="00AE3F04">
              <w:t>2.5 Centre and set edge guide</w:t>
            </w:r>
          </w:p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 xml:space="preserve">2.6 Set tension according to substrate requirements </w:t>
            </w:r>
          </w:p>
        </w:tc>
      </w:tr>
      <w:tr w:rsidTr="00AE3F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>3. Select and prepare inks and solvents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04" w:rsidP="00AE3F04">
            <w:pPr>
              <w:pStyle w:val="BodyText"/>
            </w:pPr>
            <w:r w:rsidRPr="00AE3F04">
              <w:t>3.1 Select inks and solvents according to end-user requirements and confirm they meet quality requirements</w:t>
            </w:r>
          </w:p>
          <w:p w:rsidR="00000000" w:rsidRPr="00AE3F04" w:rsidP="00AE3F04">
            <w:pPr>
              <w:pStyle w:val="BodyText"/>
            </w:pPr>
            <w:r w:rsidRPr="00AE3F04">
              <w:t>3.2 Prepare inks and solvents according to manufacturer</w:t>
            </w:r>
            <w:r w:rsidRPr="00AE3F04">
              <w:t xml:space="preserve"> specifications</w:t>
            </w:r>
          </w:p>
          <w:p w:rsidR="00000000" w:rsidRPr="00AE3F04" w:rsidP="00AE3F04">
            <w:pPr>
              <w:pStyle w:val="BodyText"/>
            </w:pPr>
            <w:r w:rsidRPr="00AE3F04">
              <w:t>3.3 Mix and prepare colour and volume of ink to match requirements of the printing process</w:t>
            </w:r>
          </w:p>
          <w:p w:rsidR="00000000" w:rsidRPr="00AE3F04" w:rsidP="00AE3F04">
            <w:pPr>
              <w:pStyle w:val="BodyText"/>
            </w:pPr>
            <w:r w:rsidRPr="00AE3F04">
              <w:t xml:space="preserve">3.4 Record ink formula and approved colour drawdowns </w:t>
            </w:r>
          </w:p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>3.5 Label, handle and store inks and solvents according to manufacturer specifications and haza</w:t>
            </w:r>
            <w:r w:rsidRPr="00AE3F04">
              <w:t>rdous liquids storage regulations</w:t>
            </w:r>
          </w:p>
        </w:tc>
      </w:tr>
      <w:tr w:rsidTr="00AE3F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>4. Set up machine for complex flexographic printing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04" w:rsidP="00AE3F04">
            <w:pPr>
              <w:pStyle w:val="BodyText"/>
            </w:pPr>
            <w:r w:rsidRPr="00AE3F04">
              <w:t xml:space="preserve">4.1 Install and mount required flexographic plate cylinders, sleeves and mounting sheets and make register adjustments as required </w:t>
            </w:r>
          </w:p>
          <w:p w:rsidR="00000000" w:rsidRPr="00AE3F04" w:rsidP="00AE3F04">
            <w:pPr>
              <w:pStyle w:val="BodyText"/>
            </w:pPr>
            <w:r w:rsidRPr="00AE3F04">
              <w:t>4.2 Gauge and pre-set plate cylinders</w:t>
            </w:r>
            <w:r w:rsidRPr="00AE3F04">
              <w:t xml:space="preserve"> to impression as required</w:t>
            </w:r>
          </w:p>
          <w:p w:rsidR="00000000" w:rsidRPr="00AE3F04" w:rsidP="00AE3F04">
            <w:pPr>
              <w:pStyle w:val="BodyText"/>
            </w:pPr>
            <w:r w:rsidRPr="00AE3F04">
              <w:t>4.2 Select rollers according to individual colour and plate reproduction requirements</w:t>
            </w:r>
          </w:p>
          <w:p w:rsidR="00000000" w:rsidRPr="00AE3F04" w:rsidP="00AE3F04">
            <w:pPr>
              <w:pStyle w:val="BodyText"/>
            </w:pPr>
            <w:r w:rsidRPr="00AE3F04">
              <w:t>4.4 Select ink metering system for each unit</w:t>
            </w:r>
          </w:p>
          <w:p w:rsidR="00000000" w:rsidRPr="00AE3F04" w:rsidP="00AE3F04">
            <w:pPr>
              <w:pStyle w:val="BodyText"/>
            </w:pPr>
            <w:r w:rsidRPr="00AE3F04">
              <w:t xml:space="preserve">4.5 Set up inking system and set roller nips and blades </w:t>
            </w:r>
          </w:p>
          <w:p w:rsidR="00000000" w:rsidRPr="00AE3F04" w:rsidP="00AE3F04">
            <w:pPr>
              <w:pStyle w:val="BodyText"/>
            </w:pPr>
            <w:r w:rsidRPr="00AE3F04">
              <w:t>4.6 Adjust viscosities according to job s</w:t>
            </w:r>
            <w:r w:rsidRPr="00AE3F04">
              <w:t>pecifications</w:t>
            </w:r>
          </w:p>
          <w:p w:rsidR="00000000" w:rsidRPr="00AE3F04" w:rsidP="00AE3F04">
            <w:pPr>
              <w:pStyle w:val="BodyText"/>
            </w:pPr>
            <w:r w:rsidRPr="00AE3F04">
              <w:t xml:space="preserve">4.7 Select air volume and drier temperature curing units according to requirements for inks, substrate and solvents </w:t>
            </w:r>
          </w:p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>4.8 Air volume is adjusted between colours to maximise drying and minimise air overspill</w:t>
            </w:r>
          </w:p>
        </w:tc>
      </w:tr>
      <w:tr w:rsidTr="00AE3F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>5. Set up in-line units for basic p</w:t>
            </w:r>
            <w:r w:rsidRPr="00AE3F04">
              <w:t>rocess(es)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04" w:rsidP="00AE3F04">
            <w:pPr>
              <w:pStyle w:val="BodyText"/>
            </w:pPr>
            <w:r w:rsidRPr="00AE3F04">
              <w:t>5.1 Set up minor in-line units are set up for basic process(es)</w:t>
            </w:r>
          </w:p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>5.2 Provide assistance in set-up of major in-line units</w:t>
            </w:r>
          </w:p>
        </w:tc>
      </w:tr>
      <w:tr w:rsidTr="00AE3F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>6. Conduct proof run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04" w:rsidP="00AE3F04">
            <w:pPr>
              <w:pStyle w:val="BodyText"/>
            </w:pPr>
            <w:r w:rsidRPr="00AE3F04">
              <w:t>6.1 Set print impressions to minimum kiss impression</w:t>
            </w:r>
          </w:p>
          <w:p w:rsidR="00000000" w:rsidRPr="00AE3F04" w:rsidP="00AE3F04">
            <w:pPr>
              <w:pStyle w:val="BodyText"/>
            </w:pPr>
            <w:r w:rsidRPr="00AE3F04">
              <w:t xml:space="preserve">6.2 Set web tensions for unwind, between stations and rewind </w:t>
            </w:r>
          </w:p>
          <w:p w:rsidR="00000000" w:rsidRPr="00AE3F04" w:rsidP="00AE3F04">
            <w:pPr>
              <w:pStyle w:val="BodyText"/>
            </w:pPr>
            <w:r w:rsidRPr="00AE3F04">
              <w:t>6.3 Confirm drying meets substrate requirements</w:t>
            </w:r>
          </w:p>
          <w:p w:rsidR="00000000" w:rsidRPr="00AE3F04" w:rsidP="00AE3F04">
            <w:pPr>
              <w:pStyle w:val="BodyText"/>
            </w:pPr>
            <w:r w:rsidRPr="00AE3F04">
              <w:t xml:space="preserve">6.4 Adjust viscosities according to colour requirement at proof speed and check against colour matching system </w:t>
            </w:r>
          </w:p>
          <w:p w:rsidR="00000000" w:rsidRPr="00AE3F04" w:rsidP="00AE3F04">
            <w:pPr>
              <w:pStyle w:val="BodyText"/>
            </w:pPr>
            <w:r w:rsidRPr="00AE3F04">
              <w:t>6.5 Inspect and test proof as requ</w:t>
            </w:r>
            <w:r w:rsidRPr="00AE3F04">
              <w:t>ired according to enterprise procedures</w:t>
            </w:r>
          </w:p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 xml:space="preserve">6.6 Seek client approval and authority prior to the production run as required </w:t>
            </w:r>
          </w:p>
        </w:tc>
      </w:tr>
      <w:tr w:rsidTr="00AE3F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>7. Readjust settings to production speed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04" w:rsidP="00AE3F04">
            <w:pPr>
              <w:pStyle w:val="BodyText"/>
            </w:pPr>
            <w:r w:rsidRPr="00AE3F04">
              <w:t xml:space="preserve">7.1 Interpret production speed print results and make adjustments to press, ink and substrate </w:t>
            </w:r>
            <w:r w:rsidRPr="00AE3F04">
              <w:t>settings as required</w:t>
            </w:r>
          </w:p>
          <w:p w:rsidR="00000000" w:rsidRPr="00AE3F04" w:rsidP="00AE3F04">
            <w:pPr>
              <w:pStyle w:val="BodyText"/>
            </w:pPr>
            <w:r w:rsidRPr="00AE3F04">
              <w:t>7.2 Splice web at production speed and obtain samples for quality inspections according to enterprise procedures</w:t>
            </w:r>
          </w:p>
          <w:p w:rsidR="00000000" w:rsidRPr="00AE3F04" w:rsidP="00AE3F04">
            <w:pPr>
              <w:pStyle w:val="BodyText"/>
            </w:pPr>
            <w:r w:rsidRPr="00AE3F04">
              <w:t>7.3 Document press setting and store samples</w:t>
            </w:r>
          </w:p>
        </w:tc>
      </w:tr>
    </w:tbl>
    <w:p w:rsidR="00000000" w:rsidRPr="00AE3F04" w:rsidP="00AE3F04">
      <w:pPr>
        <w:pStyle w:val="BodyText"/>
      </w:pPr>
    </w:p>
    <w:p w:rsidR="00000000" w:rsidRPr="00AE3F04" w:rsidP="00AE3F04">
      <w:pPr>
        <w:pStyle w:val="AllowPageBreak"/>
      </w:pPr>
    </w:p>
    <w:p w:rsidR="00000000" w:rsidRPr="00AE3F04" w:rsidP="00AE3F04">
      <w:pPr>
        <w:pStyle w:val="Heading1"/>
      </w:pPr>
      <w:bookmarkStart w:id="5" w:name="O_1074168"/>
      <w:bookmarkEnd w:id="5"/>
      <w:r w:rsidRPr="00AE3F04">
        <w:t>Foundation Skills</w:t>
      </w:r>
    </w:p>
    <w:p w:rsidR="00000000" w:rsidRPr="009F746A" w:rsidP="009F746A">
      <w:pPr>
        <w:pStyle w:val="BodyText"/>
        <w:rPr>
          <w:i/>
        </w:rPr>
      </w:pPr>
      <w:r w:rsidRPr="009F746A">
        <w:rPr>
          <w:rStyle w:val="Emphasis"/>
        </w:rPr>
        <w:t>This section describes language, liter</w:t>
      </w:r>
      <w:r w:rsidRPr="009F746A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AE3F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04" w:rsidP="00AE3F04">
            <w:pPr>
              <w:pStyle w:val="BodyText"/>
            </w:pPr>
            <w:r w:rsidRPr="00AE3F04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rPr>
                <w:rStyle w:val="SpecialBold"/>
              </w:rPr>
              <w:t>Description</w:t>
            </w:r>
          </w:p>
        </w:tc>
      </w:tr>
      <w:tr w:rsidTr="00AE3F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ListBullet"/>
              <w:rPr>
                <w:lang w:val="en-NZ"/>
              </w:rPr>
            </w:pPr>
            <w:r w:rsidRPr="00AE3F04">
              <w:t>Completes records according to workplace requirements</w:t>
            </w:r>
          </w:p>
        </w:tc>
      </w:tr>
      <w:tr w:rsidTr="00AE3F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ListBullet"/>
              <w:rPr>
                <w:lang w:val="en-NZ"/>
              </w:rPr>
            </w:pPr>
            <w:r w:rsidRPr="00AE3F04">
              <w:t>Interprets and analyses a range of mathematical information used in familiar and routine tasks</w:t>
            </w:r>
          </w:p>
        </w:tc>
      </w:tr>
      <w:tr w:rsidTr="00AE3F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04" w:rsidP="00AE3F04">
            <w:pPr>
              <w:pStyle w:val="ListBullet"/>
            </w:pPr>
            <w:r w:rsidRPr="00AE3F04">
              <w:t xml:space="preserve">Complies with enterprise procedures relevant to own role </w:t>
            </w:r>
          </w:p>
          <w:p w:rsidR="00000000" w:rsidP="00AE3F04">
            <w:pPr>
              <w:pStyle w:val="ListBullet"/>
              <w:rPr>
                <w:lang w:val="en-NZ"/>
              </w:rPr>
            </w:pPr>
            <w:r w:rsidRPr="00AE3F04">
              <w:t>Implements actions according to instructions, making adjustments if necessary</w:t>
            </w:r>
          </w:p>
        </w:tc>
      </w:tr>
      <w:tr w:rsidTr="00AE3F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>Teamw</w:t>
            </w:r>
            <w:r w:rsidRPr="00AE3F04">
              <w:t>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04" w:rsidP="00AE3F04">
            <w:pPr>
              <w:pStyle w:val="ListBullet"/>
            </w:pPr>
            <w:r w:rsidRPr="00AE3F04">
              <w:t>Collaborates with others to complete tasks according to requirements</w:t>
            </w:r>
          </w:p>
          <w:p w:rsidR="00000000" w:rsidP="00AE3F04">
            <w:pPr>
              <w:pStyle w:val="ListBullet"/>
              <w:rPr>
                <w:lang w:val="en-NZ"/>
              </w:rPr>
            </w:pPr>
            <w:r w:rsidRPr="00AE3F04">
              <w:t>Follows accepted communication practices and protocols when seeking approval</w:t>
            </w:r>
          </w:p>
        </w:tc>
      </w:tr>
      <w:tr w:rsidTr="00AE3F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ListBullet"/>
              <w:rPr>
                <w:lang w:val="en-NZ"/>
              </w:rPr>
            </w:pPr>
            <w:r w:rsidRPr="00AE3F04">
              <w:t xml:space="preserve">Takes responsibility for planning and organising own workload using analytical processes to decide on a course of action, and assembles resources required </w:t>
            </w:r>
          </w:p>
        </w:tc>
      </w:tr>
      <w:tr w:rsidTr="00AE3F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ListBullet"/>
              <w:rPr>
                <w:lang w:val="en-NZ"/>
              </w:rPr>
            </w:pPr>
            <w:r w:rsidRPr="00AE3F04">
              <w:t>Identifies and takes responsibility for addressing predictable, and some less pre</w:t>
            </w:r>
            <w:r w:rsidRPr="00AE3F04">
              <w:t xml:space="preserve">dictable, problems in familiar work contexts </w:t>
            </w:r>
          </w:p>
        </w:tc>
      </w:tr>
      <w:tr w:rsidTr="00AE3F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F04">
            <w:pPr>
              <w:pStyle w:val="BodyText"/>
              <w:rPr>
                <w:lang w:val="en-NZ"/>
              </w:rPr>
            </w:pPr>
            <w:r w:rsidRPr="00AE3F04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F04" w:rsidP="00AE3F04">
            <w:pPr>
              <w:pStyle w:val="ListBullet"/>
            </w:pPr>
            <w:r w:rsidRPr="00AE3F04">
              <w:t>Reads data from electronic monitoring and control systems</w:t>
            </w:r>
          </w:p>
        </w:tc>
      </w:tr>
    </w:tbl>
    <w:p w:rsidR="00000000" w:rsidRPr="00AE3F04" w:rsidP="00AE3F04">
      <w:pPr>
        <w:pStyle w:val="BodyText"/>
      </w:pPr>
    </w:p>
    <w:p w:rsidR="00000000" w:rsidRPr="00AE3F04" w:rsidP="00AE3F04">
      <w:pPr>
        <w:pStyle w:val="AllowPageBreak"/>
      </w:pPr>
    </w:p>
    <w:p w:rsidR="00000000" w:rsidRPr="00AE3F04" w:rsidP="00AE3F04">
      <w:pPr>
        <w:pStyle w:val="Heading1"/>
      </w:pPr>
      <w:bookmarkStart w:id="6" w:name="O_1074167"/>
      <w:bookmarkEnd w:id="6"/>
      <w:r w:rsidRPr="00AE3F04">
        <w:t>Unit Mapping Information</w:t>
      </w:r>
    </w:p>
    <w:p w:rsidR="00000000" w:rsidRPr="00AE3F04" w:rsidP="009F746A">
      <w:pPr>
        <w:pStyle w:val="BodyText"/>
      </w:pPr>
      <w:r w:rsidRPr="00AE3F04">
        <w:t>Supersedes and is equivalent to ICPPRN413 Set up for complex flexographic printing.</w:t>
      </w:r>
    </w:p>
    <w:p w:rsidR="00000000" w:rsidRPr="00AE3F04" w:rsidP="00AE3F04">
      <w:pPr>
        <w:pStyle w:val="Heading1"/>
      </w:pPr>
      <w:bookmarkStart w:id="7" w:name="O_1074160"/>
      <w:bookmarkEnd w:id="7"/>
      <w:r w:rsidRPr="00AE3F04">
        <w:t>Links</w:t>
      </w:r>
    </w:p>
    <w:p w:rsidR="00000000" w:rsidRPr="00AE3F04" w:rsidP="009F746A">
      <w:pPr>
        <w:pStyle w:val="BodyText"/>
      </w:pPr>
      <w:r w:rsidRPr="00AE3F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F5EC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E3F04" w:rsidP="00AE3F04"/>
    <w:sectPr w:rsidSect="00AE3F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04" w:rsidRPr="009F746A" w:rsidP="009F74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46A" w:rsidP="00AE3F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746A" w:rsidP="00AE3F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746A" w:rsidP="00AE3F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4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F04" w:rsidRPr="009F746A" w:rsidP="009F74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F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46A" w:rsidRPr="002D2AF8" w:rsidP="00AE3F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ICPPRN4130 Set up for complex flexographic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9F746A" w:rsidP="00AE3F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9A5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EC31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F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F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F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F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F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F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F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F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F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F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F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F04"/>
  </w:style>
  <w:style w:type="character" w:customStyle="1" w:styleId="Heading1Char">
    <w:name w:val="Heading 1 Char"/>
    <w:basedOn w:val="DefaultParagraphFont"/>
    <w:link w:val="Heading1"/>
    <w:rsid w:val="00AE3F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F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F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F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F04"/>
    <w:rPr>
      <w:b/>
      <w:spacing w:val="0"/>
    </w:rPr>
  </w:style>
  <w:style w:type="character" w:styleId="Emphasis">
    <w:name w:val="Emphasis"/>
    <w:basedOn w:val="DefaultParagraphFont"/>
    <w:qFormat/>
    <w:rsid w:val="00AE3F04"/>
    <w:rPr>
      <w:i/>
    </w:rPr>
  </w:style>
  <w:style w:type="paragraph" w:customStyle="1" w:styleId="SuperHeading">
    <w:name w:val="SuperHeading"/>
    <w:basedOn w:val="Normal"/>
    <w:rsid w:val="00AE3F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F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F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F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F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F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F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F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F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F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F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F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F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F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F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F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F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F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F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F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F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F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F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F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F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F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F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F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F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F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F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3F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F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F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F04"/>
  </w:style>
  <w:style w:type="paragraph" w:styleId="TableofFigures">
    <w:name w:val="table of figures"/>
    <w:basedOn w:val="Normal"/>
    <w:next w:val="Normal"/>
    <w:semiHidden/>
    <w:rsid w:val="00AE3F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F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3F04"/>
    <w:rPr>
      <w:rFonts w:ascii="Wingdings" w:hAnsi="Wingdings"/>
    </w:rPr>
  </w:style>
  <w:style w:type="paragraph" w:customStyle="1" w:styleId="TableHeading">
    <w:name w:val="Table Heading"/>
    <w:basedOn w:val="HeadingBase"/>
    <w:rsid w:val="00AE3F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F04"/>
    <w:rPr>
      <w:color w:val="0033CC"/>
      <w:u w:val="none"/>
    </w:rPr>
  </w:style>
  <w:style w:type="paragraph" w:customStyle="1" w:styleId="BodyTextRight">
    <w:name w:val="Body Text Right"/>
    <w:basedOn w:val="BodyText"/>
    <w:rsid w:val="00AE3F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F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F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F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F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F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F04"/>
    <w:rPr>
      <w:sz w:val="32"/>
    </w:rPr>
  </w:style>
  <w:style w:type="paragraph" w:customStyle="1" w:styleId="HeadingProcedure">
    <w:name w:val="Heading Procedure"/>
    <w:basedOn w:val="HeadingBase"/>
    <w:next w:val="Normal"/>
    <w:rsid w:val="00AE3F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F04"/>
    <w:pPr>
      <w:spacing w:before="60" w:after="60"/>
    </w:pPr>
  </w:style>
  <w:style w:type="paragraph" w:styleId="ListContinue">
    <w:name w:val="List Continue"/>
    <w:basedOn w:val="List"/>
    <w:rsid w:val="00AE3F04"/>
    <w:pPr>
      <w:ind w:firstLine="0"/>
    </w:pPr>
  </w:style>
  <w:style w:type="paragraph" w:customStyle="1" w:styleId="ListNote">
    <w:name w:val="List Note"/>
    <w:basedOn w:val="List"/>
    <w:rsid w:val="00AE3F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F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F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F04"/>
    <w:rPr>
      <w:rFonts w:ascii="Courier New" w:hAnsi="Courier New"/>
    </w:rPr>
  </w:style>
  <w:style w:type="paragraph" w:customStyle="1" w:styleId="NoteBullet">
    <w:name w:val="Note Bullet"/>
    <w:basedOn w:val="Note"/>
    <w:rsid w:val="00AE3F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F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F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F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F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3F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F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F04"/>
    <w:rPr>
      <w:b/>
      <w:smallCaps/>
    </w:rPr>
  </w:style>
  <w:style w:type="paragraph" w:customStyle="1" w:styleId="TableListNumber">
    <w:name w:val="Table List Number"/>
    <w:basedOn w:val="ListNumber"/>
    <w:rsid w:val="00AE3F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F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F04"/>
    <w:pPr>
      <w:numPr>
        <w:numId w:val="8"/>
      </w:numPr>
    </w:pPr>
  </w:style>
  <w:style w:type="paragraph" w:customStyle="1" w:styleId="ListAlpha2">
    <w:name w:val="List Alpha 2"/>
    <w:basedOn w:val="List2"/>
    <w:rsid w:val="00AE3F04"/>
    <w:pPr>
      <w:numPr>
        <w:numId w:val="7"/>
      </w:numPr>
    </w:pPr>
  </w:style>
  <w:style w:type="paragraph" w:styleId="List2">
    <w:name w:val="List 2"/>
    <w:basedOn w:val="BodyText"/>
    <w:rsid w:val="00AE3F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F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F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F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F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F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3F04"/>
    <w:pPr>
      <w:numPr>
        <w:numId w:val="3"/>
      </w:numPr>
    </w:pPr>
  </w:style>
  <w:style w:type="paragraph" w:styleId="ListContinue2">
    <w:name w:val="List Continue 2"/>
    <w:basedOn w:val="List2"/>
    <w:rsid w:val="00AE3F04"/>
    <w:pPr>
      <w:ind w:firstLine="0"/>
    </w:pPr>
  </w:style>
  <w:style w:type="paragraph" w:styleId="ListContinue3">
    <w:name w:val="List Continue 3"/>
    <w:basedOn w:val="List3"/>
    <w:rsid w:val="00AE3F04"/>
    <w:pPr>
      <w:ind w:left="1021" w:firstLine="0"/>
    </w:pPr>
  </w:style>
  <w:style w:type="paragraph" w:styleId="ListContinue4">
    <w:name w:val="List Continue 4"/>
    <w:basedOn w:val="List4"/>
    <w:rsid w:val="00AE3F04"/>
    <w:pPr>
      <w:ind w:firstLine="0"/>
    </w:pPr>
  </w:style>
  <w:style w:type="paragraph" w:styleId="ListContinue5">
    <w:name w:val="List Continue 5"/>
    <w:basedOn w:val="List5"/>
    <w:rsid w:val="00AE3F04"/>
    <w:pPr>
      <w:ind w:firstLine="0"/>
    </w:pPr>
  </w:style>
  <w:style w:type="paragraph" w:styleId="ListNumber3">
    <w:name w:val="List Number 3"/>
    <w:basedOn w:val="List3"/>
    <w:rsid w:val="00AE3F04"/>
    <w:pPr>
      <w:numPr>
        <w:numId w:val="4"/>
      </w:numPr>
    </w:pPr>
  </w:style>
  <w:style w:type="paragraph" w:styleId="ListNumber4">
    <w:name w:val="List Number 4"/>
    <w:basedOn w:val="List4"/>
    <w:rsid w:val="00AE3F04"/>
    <w:pPr>
      <w:numPr>
        <w:numId w:val="5"/>
      </w:numPr>
    </w:pPr>
  </w:style>
  <w:style w:type="paragraph" w:styleId="ListNumber5">
    <w:name w:val="List Number 5"/>
    <w:basedOn w:val="List5"/>
    <w:rsid w:val="00AE3F04"/>
    <w:pPr>
      <w:numPr>
        <w:numId w:val="6"/>
      </w:numPr>
    </w:pPr>
  </w:style>
  <w:style w:type="paragraph" w:styleId="BlockText">
    <w:name w:val="Block Text"/>
    <w:basedOn w:val="Normal"/>
    <w:rsid w:val="00AE3F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F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F04"/>
    <w:rPr>
      <w:sz w:val="16"/>
      <w:vertAlign w:val="superscript"/>
    </w:rPr>
  </w:style>
  <w:style w:type="character" w:customStyle="1" w:styleId="Symbols">
    <w:name w:val="Symbols"/>
    <w:basedOn w:val="DefaultParagraphFont"/>
    <w:rsid w:val="00AE3F04"/>
    <w:rPr>
      <w:rFonts w:ascii="Symbol" w:hAnsi="Symbol"/>
    </w:rPr>
  </w:style>
  <w:style w:type="character" w:customStyle="1" w:styleId="MenuOptions">
    <w:name w:val="Menu Options"/>
    <w:basedOn w:val="DefaultParagraphFont"/>
    <w:rsid w:val="00AE3F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F04"/>
    <w:rPr>
      <w:b/>
    </w:rPr>
  </w:style>
  <w:style w:type="character" w:customStyle="1" w:styleId="Underlined">
    <w:name w:val="Underlined"/>
    <w:basedOn w:val="DefaultParagraphFont"/>
    <w:rsid w:val="00AE3F04"/>
    <w:rPr>
      <w:u w:val="single"/>
    </w:rPr>
  </w:style>
  <w:style w:type="paragraph" w:customStyle="1" w:styleId="TableBodyTextRight">
    <w:name w:val="Table Body Text Right"/>
    <w:basedOn w:val="TableBodyText"/>
    <w:rsid w:val="00AE3F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F04"/>
    <w:rPr>
      <w:sz w:val="18"/>
    </w:rPr>
  </w:style>
  <w:style w:type="paragraph" w:customStyle="1" w:styleId="BodySmallRight">
    <w:name w:val="Body Small Right"/>
    <w:basedOn w:val="BodyTextRight"/>
    <w:rsid w:val="00AE3F04"/>
    <w:rPr>
      <w:sz w:val="18"/>
      <w:szCs w:val="18"/>
    </w:rPr>
  </w:style>
  <w:style w:type="paragraph" w:customStyle="1" w:styleId="MarginEdition">
    <w:name w:val="Margin Edition"/>
    <w:basedOn w:val="MarginNote"/>
    <w:rsid w:val="00AE3F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F04"/>
    <w:rPr>
      <w:sz w:val="2"/>
      <w:szCs w:val="2"/>
    </w:rPr>
  </w:style>
  <w:style w:type="character" w:customStyle="1" w:styleId="Small">
    <w:name w:val="Small"/>
    <w:basedOn w:val="DefaultParagraphFont"/>
    <w:rsid w:val="00AE3F04"/>
    <w:rPr>
      <w:sz w:val="16"/>
    </w:rPr>
  </w:style>
  <w:style w:type="paragraph" w:customStyle="1" w:styleId="WideTable">
    <w:name w:val="Wide Table"/>
    <w:basedOn w:val="Normal"/>
    <w:rsid w:val="00AE3F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F04"/>
  </w:style>
  <w:style w:type="paragraph" w:styleId="Quote">
    <w:name w:val="Quote"/>
    <w:basedOn w:val="Heading1"/>
    <w:link w:val="QuoteChar"/>
    <w:qFormat/>
    <w:rsid w:val="00AE3F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F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F04"/>
    <w:pPr>
      <w:pageBreakBefore/>
    </w:pPr>
  </w:style>
  <w:style w:type="paragraph" w:customStyle="1" w:styleId="Border">
    <w:name w:val="Border"/>
    <w:basedOn w:val="Normal"/>
    <w:qFormat/>
    <w:rsid w:val="00AE3F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F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F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F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F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F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F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F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F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F04"/>
    <w:rPr>
      <w:u w:val="single"/>
    </w:rPr>
  </w:style>
  <w:style w:type="character" w:customStyle="1" w:styleId="BoldandItalics">
    <w:name w:val="Bold and Italics"/>
    <w:qFormat/>
    <w:rsid w:val="00AE3F04"/>
    <w:rPr>
      <w:b/>
      <w:i/>
      <w:u w:val="none"/>
    </w:rPr>
  </w:style>
  <w:style w:type="paragraph" w:styleId="BalloonText">
    <w:name w:val="Balloon Text"/>
    <w:basedOn w:val="Normal"/>
    <w:link w:val="BalloonTextChar"/>
    <w:rsid w:val="00AE3F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F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F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F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F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F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F04"/>
    <w:pPr>
      <w:spacing w:before="0" w:after="0"/>
    </w:pPr>
  </w:style>
  <w:style w:type="paragraph" w:customStyle="1" w:styleId="BodyTextBold">
    <w:name w:val="Body Text Bold"/>
    <w:basedOn w:val="BodyText"/>
    <w:qFormat/>
    <w:rsid w:val="00AE3F04"/>
    <w:rPr>
      <w:b/>
    </w:rPr>
  </w:style>
  <w:style w:type="character" w:styleId="Hyperlink">
    <w:name w:val="Hyperlink"/>
    <w:basedOn w:val="DefaultParagraphFont"/>
    <w:uiPriority w:val="99"/>
    <w:unhideWhenUsed/>
    <w:rsid w:val="009F74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781</Words>
  <Characters>4702</Characters>
  <Application>Microsoft Office Word</Application>
  <DocSecurity>0</DocSecurity>
  <Lines>142</Lines>
  <Paragraphs>99</Paragraphs>
  <ScaleCrop>false</ScaleCrop>
  <Company>Author-it Software Corporation Ltd.</Company>
  <LinksUpToDate>false</LinksUpToDate>
  <CharactersWithSpaces>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ICPPRN4130 Set up for complex flexographic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2021-07-20T05:50:00Z</dcterms:created>
  <dcterms:modified xsi:type="dcterms:W3CDTF">2021-07-20T05:50:00Z</dcterms:modified>
</cp:coreProperties>
</file>