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BAC" w:rsidP="002D0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ICPPRN411 Mount and demount flexographic plates for complex printing</w:t>
      </w:r>
      <w:r>
        <w:fldChar w:fldCharType="end"/>
      </w:r>
    </w:p>
    <w:p w:rsidR="002D0BAC" w:rsidP="002D0BAC">
      <w:pPr>
        <w:pStyle w:val="Version"/>
        <w:sectPr w:rsidSect="00AB7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047" w:rsidP="00AB7047">
      <w:pPr>
        <w:pStyle w:val="SuperHeading"/>
      </w:pPr>
      <w:r w:rsidRPr="00AB7047">
        <w:t>ICPPRN411 Mount and demount flexographic plates for complex printing</w:t>
      </w:r>
    </w:p>
    <w:p w:rsidR="00000000" w:rsidRPr="00AB7047" w:rsidP="00AB7047">
      <w:pPr>
        <w:pStyle w:val="Heading1"/>
      </w:pPr>
      <w:bookmarkStart w:id="1" w:name="O_689342"/>
      <w:bookmarkEnd w:id="1"/>
      <w:r w:rsidRPr="00AB7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7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rPr>
                <w:rStyle w:val="SpecialBold"/>
              </w:rPr>
              <w:t>Comments</w:t>
            </w:r>
          </w:p>
        </w:tc>
      </w:tr>
      <w:tr w:rsidTr="00AB7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t>This version first released with ICP Printing and Graphic Arts Training Package Version 1.0.</w:t>
            </w:r>
          </w:p>
        </w:tc>
      </w:tr>
    </w:tbl>
    <w:p w:rsidR="00000000" w:rsidRPr="00AB7047" w:rsidP="00AB7047">
      <w:pPr>
        <w:pStyle w:val="BodyText"/>
      </w:pPr>
    </w:p>
    <w:p w:rsidR="00000000" w:rsidRPr="00AB7047" w:rsidP="00AB7047">
      <w:pPr>
        <w:pStyle w:val="AllowPageBreak"/>
      </w:pPr>
    </w:p>
    <w:p w:rsidR="00000000" w:rsidRPr="00AB7047" w:rsidP="00AB7047">
      <w:pPr>
        <w:pStyle w:val="Heading1"/>
      </w:pPr>
      <w:bookmarkStart w:id="2" w:name="O_689343"/>
      <w:bookmarkEnd w:id="2"/>
      <w:r w:rsidRPr="00AB7047">
        <w:t>Application</w:t>
      </w:r>
    </w:p>
    <w:p w:rsidR="00000000" w:rsidRPr="00AB7047" w:rsidP="002D0BAC">
      <w:pPr>
        <w:pStyle w:val="BodyText"/>
      </w:pPr>
      <w:r w:rsidRPr="00AB7047">
        <w:t>This unit describes the skills and knowledge required to mount and demount flexographic plates for non-routine printing.</w:t>
      </w:r>
    </w:p>
    <w:p w:rsidR="00000000" w:rsidRPr="00AB7047" w:rsidP="002D0BAC">
      <w:pPr>
        <w:pStyle w:val="BodyText"/>
      </w:pPr>
      <w:r w:rsidRPr="00AB7047">
        <w:t xml:space="preserve">It applies to individuals working in the printing and graphic pre-press sector of the printing and graphic arts industry. </w:t>
      </w:r>
      <w:r w:rsidRPr="00AB7047">
        <w:t xml:space="preserve">They design layouts and assemble text and graphics into page formats for printing, and set up, monitor and operate equipment and machinery as well as apply solutions to a defined range of problems associated with the print medium, and analyse and evaluate </w:t>
      </w:r>
      <w:r w:rsidRPr="00AB7047">
        <w:t>information from a variety of sources. They may also provide leadership and guidance to others with some limited responsibility for the output of others.</w:t>
      </w:r>
    </w:p>
    <w:p w:rsidR="00000000" w:rsidRPr="00AB7047" w:rsidP="002D0BAC">
      <w:pPr>
        <w:pStyle w:val="BodyText"/>
      </w:pPr>
      <w:r w:rsidRPr="00AB7047">
        <w:t>No licensing, legislative or certification requirements apply to this unit at the time of publication</w:t>
      </w:r>
      <w:r w:rsidRPr="00AB7047">
        <w:t>.</w:t>
      </w:r>
    </w:p>
    <w:p w:rsidR="00000000" w:rsidRPr="00AB7047" w:rsidP="00AB7047">
      <w:pPr>
        <w:pStyle w:val="Heading1"/>
      </w:pPr>
      <w:bookmarkStart w:id="3" w:name="O_689346"/>
      <w:bookmarkEnd w:id="3"/>
      <w:r w:rsidRPr="00AB7047">
        <w:t>Unit Sector</w:t>
      </w:r>
    </w:p>
    <w:p w:rsidR="00000000" w:rsidRPr="00AB7047" w:rsidP="002D0BAC">
      <w:pPr>
        <w:pStyle w:val="BodyText"/>
      </w:pPr>
      <w:r w:rsidRPr="00AB7047">
        <w:t>Printing</w:t>
      </w:r>
    </w:p>
    <w:p w:rsidR="00000000" w:rsidRPr="00AB7047" w:rsidP="00AB7047">
      <w:pPr>
        <w:pStyle w:val="Heading1"/>
      </w:pPr>
      <w:bookmarkStart w:id="4" w:name="O_689347"/>
      <w:bookmarkEnd w:id="4"/>
      <w:r w:rsidRPr="00AB70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7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rPr>
                <w:rStyle w:val="SpecialBold"/>
              </w:rPr>
              <w:t>PERFORMANCE CRITERIA</w:t>
            </w:r>
          </w:p>
        </w:tc>
      </w:tr>
      <w:tr w:rsidTr="00AB7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t>1.1 Job requirements are read and interpreted from job documentation or production control system</w:t>
            </w:r>
          </w:p>
          <w:p w:rsidR="00000000" w:rsidRPr="00AB7047" w:rsidP="00AB7047">
            <w:pPr>
              <w:pStyle w:val="BodyText"/>
            </w:pPr>
            <w:r w:rsidRPr="00AB7047">
              <w:t>1.2 Set up is plann</w:t>
            </w:r>
            <w:r w:rsidRPr="00AB7047">
              <w:t>ed and carried out correctly in minimum time with minimum wastage</w:t>
            </w:r>
          </w:p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1.3 Prior inspections are completed and signed off</w:t>
            </w:r>
          </w:p>
        </w:tc>
      </w:tr>
      <w:tr w:rsidTr="00AB7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t>2.1 Plate height is measured according to non-routine job specifications</w:t>
            </w:r>
          </w:p>
          <w:p w:rsidR="00000000" w:rsidRPr="00AB7047" w:rsidP="00AB7047">
            <w:pPr>
              <w:pStyle w:val="BodyText"/>
            </w:pPr>
            <w:r w:rsidRPr="00AB7047">
              <w:t>2.2 Plates are trimmed and prepared according to mounting system requirements</w:t>
            </w:r>
          </w:p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2.3 Mounting adhesive is selected to achieve correct Pitch Circle Diameter (PCD) of specified plate cylinders and gears</w:t>
            </w:r>
          </w:p>
        </w:tc>
      </w:tr>
      <w:tr w:rsidTr="00AB7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3. Prepare plate cylinder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t>3.1 Plate cylinders/seamless sl</w:t>
            </w:r>
            <w:r w:rsidRPr="00AB7047">
              <w:t xml:space="preserve">eeves are selected, cleaned and prepared and correct gears are mounted </w:t>
            </w:r>
          </w:p>
          <w:p w:rsidR="00000000" w:rsidRPr="00AB7047" w:rsidP="00AB7047">
            <w:pPr>
              <w:pStyle w:val="BodyText"/>
            </w:pPr>
            <w:r w:rsidRPr="00AB7047">
              <w:t>OR</w:t>
            </w:r>
          </w:p>
          <w:p w:rsidR="00000000" w:rsidRPr="00AB7047" w:rsidP="00AB7047">
            <w:pPr>
              <w:pStyle w:val="BodyText"/>
            </w:pPr>
            <w:r w:rsidRPr="00AB7047">
              <w:t>3.2 Sleeves and correct gears on mandrels are selected, cleaned, prepared and mounted to meet non-routine job specifications</w:t>
            </w:r>
          </w:p>
          <w:p w:rsidR="00000000" w:rsidRPr="00AB7047" w:rsidP="00AB7047">
            <w:pPr>
              <w:pStyle w:val="BodyText"/>
            </w:pPr>
            <w:r w:rsidRPr="00AB7047">
              <w:t>3.3 Total Indicated Runout (TIR) is checked to be within</w:t>
            </w:r>
            <w:r w:rsidRPr="00AB7047">
              <w:t xml:space="preserve"> specified tolerances on plate cylinders</w:t>
            </w:r>
          </w:p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3.4 Selected mounting adhesive is applied to plate cylinders</w:t>
            </w:r>
          </w:p>
        </w:tc>
      </w:tr>
      <w:tr w:rsidTr="00AB7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4. Mount and demount flexographic plates on mounting/proofing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t>4.1 Plates are prepared and mounted on cylinders using pin mounts or microdot syste</w:t>
            </w:r>
            <w:r w:rsidRPr="00AB7047">
              <w:t xml:space="preserve">ms or sleeves according to chart number/print direction </w:t>
            </w:r>
          </w:p>
          <w:p w:rsidR="00000000" w:rsidRPr="00AB7047" w:rsidP="00AB7047">
            <w:pPr>
              <w:pStyle w:val="BodyText"/>
            </w:pPr>
            <w:r w:rsidRPr="00AB7047">
              <w:t>OR</w:t>
            </w:r>
          </w:p>
          <w:p w:rsidR="00000000" w:rsidRPr="00AB7047" w:rsidP="00AB7047">
            <w:pPr>
              <w:pStyle w:val="BodyText"/>
            </w:pPr>
            <w:r w:rsidRPr="00AB7047">
              <w:t xml:space="preserve">4.2 Plate mounting sheet is prepared to meet non-routine job specifications </w:t>
            </w:r>
          </w:p>
          <w:p w:rsidR="00000000" w:rsidRPr="00AB7047" w:rsidP="00AB7047">
            <w:pPr>
              <w:pStyle w:val="BodyText"/>
            </w:pPr>
            <w:r w:rsidRPr="00AB7047">
              <w:t xml:space="preserve">4.3 Plates are mounted to position on plate mounting sheet or camera targets </w:t>
            </w:r>
          </w:p>
          <w:p w:rsidR="00000000" w:rsidRPr="00AB7047" w:rsidP="00AB7047">
            <w:pPr>
              <w:pStyle w:val="BodyText"/>
            </w:pPr>
            <w:r w:rsidRPr="00AB7047">
              <w:t>4.4 Plate mounting sheet is installed and</w:t>
            </w:r>
            <w:r w:rsidRPr="00AB7047">
              <w:t xml:space="preserve"> tensioned onto plate cylinder to specified chart number/print direction</w:t>
            </w:r>
          </w:p>
          <w:p w:rsidR="00000000" w:rsidRPr="00AB7047" w:rsidP="00AB7047">
            <w:pPr>
              <w:pStyle w:val="BodyText"/>
            </w:pPr>
            <w:r w:rsidRPr="00AB7047">
              <w:t>4.5 Correct cleaning solution and brush is used to clean plate</w:t>
            </w:r>
          </w:p>
          <w:p w:rsidR="00000000" w:rsidRPr="00AB7047" w:rsidP="00AB7047">
            <w:pPr>
              <w:pStyle w:val="BodyText"/>
            </w:pPr>
            <w:r w:rsidRPr="00AB7047">
              <w:t>4.6 Correct tools are used to demount plate without damaging plate</w:t>
            </w:r>
          </w:p>
          <w:p w:rsidR="00000000" w:rsidRPr="00AB7047" w:rsidP="00AB7047">
            <w:pPr>
              <w:pStyle w:val="BodyText"/>
            </w:pPr>
            <w:r w:rsidRPr="00AB7047">
              <w:t>4.7 Plate is visually checked for damage</w:t>
            </w:r>
          </w:p>
          <w:p w:rsidR="00000000" w:rsidRPr="00AB7047" w:rsidP="00AB7047">
            <w:pPr>
              <w:pStyle w:val="BodyText"/>
            </w:pPr>
            <w:r w:rsidRPr="00AB7047">
              <w:t>4.8 Plate is</w:t>
            </w:r>
            <w:r w:rsidRPr="00AB7047">
              <w:t xml:space="preserve"> prepared for storage and then stored correctly according to enterprise procedures</w:t>
            </w:r>
          </w:p>
        </w:tc>
      </w:tr>
    </w:tbl>
    <w:p w:rsidR="00000000" w:rsidRPr="00AB7047" w:rsidP="00AB7047">
      <w:pPr>
        <w:pStyle w:val="BodyText"/>
      </w:pPr>
    </w:p>
    <w:p w:rsidR="00000000" w:rsidRPr="00AB7047" w:rsidP="00AB7047">
      <w:pPr>
        <w:pStyle w:val="AllowPageBreak"/>
      </w:pPr>
    </w:p>
    <w:p w:rsidR="00000000" w:rsidRPr="00AB7047" w:rsidP="00AB7047">
      <w:pPr>
        <w:pStyle w:val="Heading1"/>
      </w:pPr>
      <w:bookmarkStart w:id="5" w:name="O_689349"/>
      <w:bookmarkEnd w:id="5"/>
      <w:r w:rsidRPr="00AB7047">
        <w:t>Foundation Skills</w:t>
      </w:r>
    </w:p>
    <w:p w:rsidR="00000000" w:rsidRPr="002D0BAC" w:rsidP="002D0BAC">
      <w:pPr>
        <w:pStyle w:val="BodyText"/>
        <w:rPr>
          <w:i/>
        </w:rPr>
      </w:pPr>
      <w:r w:rsidRPr="002D0BA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B7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rPr>
                <w:rStyle w:val="SpecialBold"/>
              </w:rPr>
              <w:t>Description</w:t>
            </w:r>
          </w:p>
        </w:tc>
      </w:tr>
      <w:tr w:rsidTr="00AB7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1.1, 2.1, 3.2, 4.2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ListBullet"/>
              <w:rPr>
                <w:lang w:val="en-NZ"/>
              </w:rPr>
            </w:pPr>
            <w:r w:rsidRPr="00AB7047">
              <w:t>Recognises and interprets te</w:t>
            </w:r>
            <w:r w:rsidRPr="00AB7047">
              <w:t>xt to establish job requirements from information contained within relevant procedures and specifications</w:t>
            </w:r>
          </w:p>
        </w:tc>
      </w:tr>
      <w:tr w:rsidTr="00AB7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ListBullet"/>
              <w:rPr>
                <w:lang w:val="en-NZ"/>
              </w:rPr>
            </w:pPr>
            <w:r w:rsidRPr="00AB7047">
              <w:t>Completes workplace forms accurately</w:t>
            </w:r>
          </w:p>
        </w:tc>
      </w:tr>
      <w:tr w:rsidTr="00AB7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2.1, 2.2, 2.3, 3.3, 4.1, 4.4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ListBullet"/>
              <w:rPr>
                <w:lang w:val="en-NZ"/>
              </w:rPr>
            </w:pPr>
            <w:r w:rsidRPr="00AB7047">
              <w:t>Uses simple mathematical calculations and arranges sequential numerical information</w:t>
            </w:r>
          </w:p>
        </w:tc>
      </w:tr>
      <w:tr w:rsidTr="00AB7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4.8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ListBullet"/>
              <w:rPr>
                <w:lang w:val="en-NZ"/>
              </w:rPr>
            </w:pPr>
            <w:r w:rsidRPr="00AB7047">
              <w:t>Complies with legislative requirements and follows organisational policies and procedures relevant to own role</w:t>
            </w:r>
          </w:p>
        </w:tc>
      </w:tr>
      <w:tr w:rsidTr="00AB7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 xml:space="preserve">1.1-1.3, </w:t>
            </w:r>
            <w:r w:rsidRPr="00AB7047">
              <w:t>2.1-2.3, 3.1-3.4, 4.1-4.8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ListBullet"/>
            </w:pPr>
            <w:r w:rsidRPr="00AB7047">
              <w:t>Takes responsibility for planning and organising own workload, identifying ways of sequencing and combining elements for greater efficiency and assembles required resources</w:t>
            </w:r>
          </w:p>
          <w:p w:rsidR="00000000" w:rsidRPr="00AB7047" w:rsidP="00AB7047">
            <w:pPr>
              <w:pStyle w:val="ListBullet"/>
            </w:pPr>
            <w:r w:rsidRPr="00AB7047">
              <w:t>Responds to predictable problems and implements standard</w:t>
            </w:r>
            <w:r w:rsidRPr="00AB7047">
              <w:t xml:space="preserve"> or logical solutions related to role in immediate work environment</w:t>
            </w:r>
          </w:p>
          <w:p w:rsidR="00000000" w:rsidRPr="00AB7047" w:rsidP="00AB7047">
            <w:pPr>
              <w:pStyle w:val="ListBullet"/>
            </w:pPr>
            <w:r w:rsidRPr="00AB7047">
              <w:t>Reads data from electronic monitoring and control systems</w:t>
            </w:r>
          </w:p>
        </w:tc>
      </w:tr>
    </w:tbl>
    <w:p w:rsidR="00000000" w:rsidRPr="00AB7047" w:rsidP="00AB7047">
      <w:pPr>
        <w:pStyle w:val="BodyText"/>
      </w:pPr>
    </w:p>
    <w:p w:rsidR="00000000" w:rsidRPr="00AB7047" w:rsidP="00AB7047">
      <w:pPr>
        <w:pStyle w:val="AllowPageBreak"/>
      </w:pPr>
    </w:p>
    <w:p w:rsidR="00000000" w:rsidRPr="00AB7047" w:rsidP="00AB7047">
      <w:pPr>
        <w:pStyle w:val="Heading1"/>
      </w:pPr>
      <w:bookmarkStart w:id="6" w:name="O_689352"/>
      <w:bookmarkEnd w:id="6"/>
      <w:r w:rsidRPr="00AB70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AB7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 xml:space="preserve">Code and title </w:t>
            </w:r>
          </w:p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Code and title</w:t>
            </w:r>
          </w:p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rPr>
                <w:rStyle w:val="SpecialBold"/>
              </w:rPr>
              <w:t>Equivalence status</w:t>
            </w:r>
          </w:p>
        </w:tc>
      </w:tr>
      <w:tr w:rsidTr="00AB7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ICPPRN411 Mount and demount flexographic plates for complex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ICPPR411C Mount and demount flexographic plates for complex printing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47">
            <w:pPr>
              <w:pStyle w:val="BodyText"/>
              <w:rPr>
                <w:lang w:val="en-NZ"/>
              </w:rPr>
            </w:pPr>
            <w:r w:rsidRPr="00AB704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47" w:rsidP="00AB7047">
            <w:pPr>
              <w:pStyle w:val="BodyText"/>
            </w:pPr>
            <w:r w:rsidRPr="00AB7047">
              <w:t>Equivalent unit</w:t>
            </w:r>
          </w:p>
        </w:tc>
      </w:tr>
    </w:tbl>
    <w:p w:rsidR="00000000" w:rsidRPr="00AB7047" w:rsidP="00AB7047">
      <w:pPr>
        <w:pStyle w:val="BodyText"/>
      </w:pPr>
    </w:p>
    <w:p w:rsidR="00000000" w:rsidRPr="00AB7047" w:rsidP="00AB7047">
      <w:pPr>
        <w:pStyle w:val="AllowPageBreak"/>
      </w:pPr>
    </w:p>
    <w:p w:rsidR="00000000" w:rsidRPr="00AB7047" w:rsidP="00AB7047">
      <w:pPr>
        <w:pStyle w:val="Heading1"/>
      </w:pPr>
      <w:bookmarkStart w:id="7" w:name="O_689364"/>
      <w:bookmarkEnd w:id="7"/>
      <w:r w:rsidRPr="00AB7047">
        <w:t>Links</w:t>
      </w:r>
    </w:p>
    <w:p w:rsidR="00000000" w:rsidRPr="00AB7047" w:rsidP="002D0BAC">
      <w:pPr>
        <w:pStyle w:val="BodyText"/>
      </w:pPr>
      <w:r w:rsidRPr="00AB70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340C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B7047" w:rsidP="00AB7047"/>
    <w:sectPr w:rsidSect="00AB7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47" w:rsidRPr="002D0BAC" w:rsidP="002D0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AC" w:rsidP="00AB7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BAC" w:rsidP="00AB7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0BAC" w:rsidP="00AB7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047" w:rsidRPr="002D0BAC" w:rsidP="002D0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AC" w:rsidRPr="002D2AF8" w:rsidP="00AB7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ICPPRN411 Mount and demount flexographic plates for complex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D0BAC" w:rsidP="00AB7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629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63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047"/>
  </w:style>
  <w:style w:type="character" w:customStyle="1" w:styleId="Heading1Char">
    <w:name w:val="Heading 1 Char"/>
    <w:basedOn w:val="DefaultParagraphFont"/>
    <w:link w:val="Heading1"/>
    <w:rsid w:val="00AB7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0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047"/>
    <w:rPr>
      <w:b/>
      <w:spacing w:val="0"/>
    </w:rPr>
  </w:style>
  <w:style w:type="character" w:styleId="Emphasis">
    <w:name w:val="Emphasis"/>
    <w:basedOn w:val="DefaultParagraphFont"/>
    <w:qFormat/>
    <w:rsid w:val="00AB7047"/>
    <w:rPr>
      <w:i/>
    </w:rPr>
  </w:style>
  <w:style w:type="paragraph" w:customStyle="1" w:styleId="SuperHeading">
    <w:name w:val="SuperHeading"/>
    <w:basedOn w:val="Normal"/>
    <w:rsid w:val="00AB7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0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047"/>
  </w:style>
  <w:style w:type="paragraph" w:styleId="TableofFigures">
    <w:name w:val="table of figures"/>
    <w:basedOn w:val="Normal"/>
    <w:next w:val="Normal"/>
    <w:semiHidden/>
    <w:rsid w:val="00AB7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047"/>
    <w:pPr>
      <w:numPr>
        <w:numId w:val="10"/>
      </w:numPr>
    </w:pPr>
  </w:style>
  <w:style w:type="character" w:customStyle="1" w:styleId="WingdingSymbols">
    <w:name w:val="Wingding Symbols"/>
    <w:rsid w:val="00AB7047"/>
    <w:rPr>
      <w:rFonts w:ascii="Wingdings" w:hAnsi="Wingdings"/>
    </w:rPr>
  </w:style>
  <w:style w:type="paragraph" w:customStyle="1" w:styleId="TableHeading">
    <w:name w:val="Table Heading"/>
    <w:basedOn w:val="HeadingBase"/>
    <w:rsid w:val="00AB7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047"/>
    <w:rPr>
      <w:color w:val="0033CC"/>
      <w:u w:val="none"/>
    </w:rPr>
  </w:style>
  <w:style w:type="paragraph" w:customStyle="1" w:styleId="BodyTextRight">
    <w:name w:val="Body Text Right"/>
    <w:basedOn w:val="BodyText"/>
    <w:rsid w:val="00AB7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047"/>
    <w:rPr>
      <w:sz w:val="32"/>
    </w:rPr>
  </w:style>
  <w:style w:type="paragraph" w:customStyle="1" w:styleId="HeadingProcedure">
    <w:name w:val="Heading Procedure"/>
    <w:basedOn w:val="HeadingBase"/>
    <w:next w:val="Normal"/>
    <w:rsid w:val="00AB7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047"/>
    <w:pPr>
      <w:spacing w:before="60" w:after="60"/>
    </w:pPr>
  </w:style>
  <w:style w:type="paragraph" w:styleId="ListContinue">
    <w:name w:val="List Continue"/>
    <w:basedOn w:val="List"/>
    <w:rsid w:val="00AB7047"/>
    <w:pPr>
      <w:ind w:firstLine="0"/>
    </w:pPr>
  </w:style>
  <w:style w:type="paragraph" w:customStyle="1" w:styleId="ListNote">
    <w:name w:val="List Note"/>
    <w:basedOn w:val="List"/>
    <w:rsid w:val="00AB7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047"/>
    <w:rPr>
      <w:rFonts w:ascii="Courier New" w:hAnsi="Courier New"/>
    </w:rPr>
  </w:style>
  <w:style w:type="paragraph" w:customStyle="1" w:styleId="NoteBullet">
    <w:name w:val="Note Bullet"/>
    <w:basedOn w:val="Note"/>
    <w:rsid w:val="00AB7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047"/>
    <w:rPr>
      <w:b/>
      <w:smallCaps/>
    </w:rPr>
  </w:style>
  <w:style w:type="paragraph" w:customStyle="1" w:styleId="TableListNumber">
    <w:name w:val="Table List Number"/>
    <w:basedOn w:val="ListNumber"/>
    <w:rsid w:val="00AB7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047"/>
    <w:pPr>
      <w:numPr>
        <w:numId w:val="8"/>
      </w:numPr>
    </w:pPr>
  </w:style>
  <w:style w:type="paragraph" w:customStyle="1" w:styleId="ListAlpha2">
    <w:name w:val="List Alpha 2"/>
    <w:basedOn w:val="List2"/>
    <w:rsid w:val="00AB7047"/>
    <w:pPr>
      <w:numPr>
        <w:numId w:val="7"/>
      </w:numPr>
    </w:pPr>
  </w:style>
  <w:style w:type="paragraph" w:styleId="List2">
    <w:name w:val="List 2"/>
    <w:basedOn w:val="BodyText"/>
    <w:rsid w:val="00AB7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047"/>
    <w:pPr>
      <w:numPr>
        <w:numId w:val="3"/>
      </w:numPr>
    </w:pPr>
  </w:style>
  <w:style w:type="paragraph" w:styleId="ListContinue2">
    <w:name w:val="List Continue 2"/>
    <w:basedOn w:val="List2"/>
    <w:rsid w:val="00AB7047"/>
    <w:pPr>
      <w:ind w:firstLine="0"/>
    </w:pPr>
  </w:style>
  <w:style w:type="paragraph" w:styleId="ListContinue3">
    <w:name w:val="List Continue 3"/>
    <w:basedOn w:val="List3"/>
    <w:rsid w:val="00AB7047"/>
    <w:pPr>
      <w:ind w:left="1021" w:firstLine="0"/>
    </w:pPr>
  </w:style>
  <w:style w:type="paragraph" w:styleId="ListContinue4">
    <w:name w:val="List Continue 4"/>
    <w:basedOn w:val="List4"/>
    <w:rsid w:val="00AB7047"/>
    <w:pPr>
      <w:ind w:firstLine="0"/>
    </w:pPr>
  </w:style>
  <w:style w:type="paragraph" w:styleId="ListContinue5">
    <w:name w:val="List Continue 5"/>
    <w:basedOn w:val="List5"/>
    <w:rsid w:val="00AB7047"/>
    <w:pPr>
      <w:ind w:firstLine="0"/>
    </w:pPr>
  </w:style>
  <w:style w:type="paragraph" w:styleId="ListNumber3">
    <w:name w:val="List Number 3"/>
    <w:basedOn w:val="List3"/>
    <w:rsid w:val="00AB7047"/>
    <w:pPr>
      <w:numPr>
        <w:numId w:val="4"/>
      </w:numPr>
    </w:pPr>
  </w:style>
  <w:style w:type="paragraph" w:styleId="ListNumber4">
    <w:name w:val="List Number 4"/>
    <w:basedOn w:val="List4"/>
    <w:rsid w:val="00AB7047"/>
    <w:pPr>
      <w:numPr>
        <w:numId w:val="5"/>
      </w:numPr>
    </w:pPr>
  </w:style>
  <w:style w:type="paragraph" w:styleId="ListNumber5">
    <w:name w:val="List Number 5"/>
    <w:basedOn w:val="List5"/>
    <w:rsid w:val="00AB7047"/>
    <w:pPr>
      <w:numPr>
        <w:numId w:val="6"/>
      </w:numPr>
    </w:pPr>
  </w:style>
  <w:style w:type="paragraph" w:styleId="BlockText">
    <w:name w:val="Block Text"/>
    <w:basedOn w:val="Normal"/>
    <w:rsid w:val="00AB7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047"/>
    <w:rPr>
      <w:sz w:val="16"/>
      <w:vertAlign w:val="superscript"/>
    </w:rPr>
  </w:style>
  <w:style w:type="character" w:customStyle="1" w:styleId="Symbols">
    <w:name w:val="Symbols"/>
    <w:basedOn w:val="DefaultParagraphFont"/>
    <w:rsid w:val="00AB7047"/>
    <w:rPr>
      <w:rFonts w:ascii="Symbol" w:hAnsi="Symbol"/>
    </w:rPr>
  </w:style>
  <w:style w:type="character" w:customStyle="1" w:styleId="MenuOptions">
    <w:name w:val="Menu Options"/>
    <w:basedOn w:val="DefaultParagraphFont"/>
    <w:rsid w:val="00AB7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047"/>
    <w:rPr>
      <w:b/>
    </w:rPr>
  </w:style>
  <w:style w:type="character" w:customStyle="1" w:styleId="Underlined">
    <w:name w:val="Underlined"/>
    <w:basedOn w:val="DefaultParagraphFont"/>
    <w:rsid w:val="00AB7047"/>
    <w:rPr>
      <w:u w:val="single"/>
    </w:rPr>
  </w:style>
  <w:style w:type="paragraph" w:customStyle="1" w:styleId="TableBodyTextRight">
    <w:name w:val="Table Body Text Right"/>
    <w:basedOn w:val="TableBodyText"/>
    <w:rsid w:val="00AB7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047"/>
    <w:rPr>
      <w:sz w:val="18"/>
    </w:rPr>
  </w:style>
  <w:style w:type="paragraph" w:customStyle="1" w:styleId="BodySmallRight">
    <w:name w:val="Body Small Right"/>
    <w:basedOn w:val="BodyTextRight"/>
    <w:rsid w:val="00AB7047"/>
    <w:rPr>
      <w:sz w:val="18"/>
      <w:szCs w:val="18"/>
    </w:rPr>
  </w:style>
  <w:style w:type="paragraph" w:customStyle="1" w:styleId="MarginEdition">
    <w:name w:val="Margin Edition"/>
    <w:basedOn w:val="MarginNote"/>
    <w:rsid w:val="00AB7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047"/>
    <w:rPr>
      <w:sz w:val="2"/>
      <w:szCs w:val="2"/>
    </w:rPr>
  </w:style>
  <w:style w:type="character" w:customStyle="1" w:styleId="Small">
    <w:name w:val="Small"/>
    <w:basedOn w:val="DefaultParagraphFont"/>
    <w:rsid w:val="00AB7047"/>
    <w:rPr>
      <w:sz w:val="16"/>
    </w:rPr>
  </w:style>
  <w:style w:type="paragraph" w:customStyle="1" w:styleId="WideTable">
    <w:name w:val="Wide Table"/>
    <w:basedOn w:val="Normal"/>
    <w:rsid w:val="00AB7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047"/>
  </w:style>
  <w:style w:type="paragraph" w:styleId="Quote">
    <w:name w:val="Quote"/>
    <w:basedOn w:val="Heading1"/>
    <w:link w:val="QuoteChar"/>
    <w:qFormat/>
    <w:rsid w:val="00AB7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047"/>
    <w:pPr>
      <w:pageBreakBefore/>
    </w:pPr>
  </w:style>
  <w:style w:type="paragraph" w:customStyle="1" w:styleId="Border">
    <w:name w:val="Border"/>
    <w:basedOn w:val="Normal"/>
    <w:qFormat/>
    <w:rsid w:val="00AB7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047"/>
    <w:rPr>
      <w:u w:val="single"/>
    </w:rPr>
  </w:style>
  <w:style w:type="character" w:customStyle="1" w:styleId="BoldandItalics">
    <w:name w:val="Bold and Italics"/>
    <w:qFormat/>
    <w:rsid w:val="00AB7047"/>
    <w:rPr>
      <w:b/>
      <w:i/>
      <w:u w:val="none"/>
    </w:rPr>
  </w:style>
  <w:style w:type="paragraph" w:styleId="BalloonText">
    <w:name w:val="Balloon Text"/>
    <w:basedOn w:val="Normal"/>
    <w:link w:val="BalloonTextChar"/>
    <w:rsid w:val="00AB7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0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0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4134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ICPPRN411 Mount and demount flexographic plates for complex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2018-12-10T06:12:00Z</dcterms:created>
  <dcterms:modified xsi:type="dcterms:W3CDTF">2018-12-10T06:12:00Z</dcterms:modified>
</cp:coreProperties>
</file>