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42A" w:rsidP="00A34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ICPPRN4110 Mount and demount flexographic plates for complex printing</w:t>
      </w:r>
      <w:r>
        <w:fldChar w:fldCharType="end"/>
      </w:r>
    </w:p>
    <w:p w:rsidR="00A3442A" w:rsidP="00A3442A">
      <w:pPr>
        <w:pStyle w:val="Version"/>
        <w:sectPr w:rsidSect="00BE5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B95" w:rsidP="00BE5B95">
      <w:pPr>
        <w:pStyle w:val="SuperHeading"/>
      </w:pPr>
      <w:r w:rsidRPr="00BE5B95">
        <w:t>ICPPRN4110 Mount and demount flexographic plates for complex printing</w:t>
      </w:r>
    </w:p>
    <w:p w:rsidR="00000000" w:rsidRPr="00BE5B95" w:rsidP="00BE5B95">
      <w:pPr>
        <w:pStyle w:val="Heading1"/>
      </w:pPr>
      <w:bookmarkStart w:id="1" w:name="O_1072864"/>
      <w:bookmarkEnd w:id="1"/>
      <w:r w:rsidRPr="00BE5B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E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rPr>
                <w:rStyle w:val="SpecialBold"/>
              </w:rPr>
              <w:t>Comments</w:t>
            </w:r>
          </w:p>
        </w:tc>
      </w:tr>
      <w:tr w:rsidTr="00BE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t>This version first released with ICP Printing and Graphic Arts Training Package Version 4.0.</w:t>
            </w:r>
          </w:p>
        </w:tc>
      </w:tr>
    </w:tbl>
    <w:p w:rsidR="00000000" w:rsidRPr="00BE5B95" w:rsidP="00BE5B95">
      <w:pPr>
        <w:pStyle w:val="BodyText"/>
      </w:pPr>
    </w:p>
    <w:p w:rsidR="00000000" w:rsidRPr="00BE5B95" w:rsidP="00BE5B95">
      <w:pPr>
        <w:pStyle w:val="AllowPageBreak"/>
      </w:pPr>
    </w:p>
    <w:p w:rsidR="00000000" w:rsidRPr="00BE5B95" w:rsidP="00BE5B95">
      <w:pPr>
        <w:pStyle w:val="Heading1"/>
      </w:pPr>
      <w:bookmarkStart w:id="2" w:name="O_1072869"/>
      <w:bookmarkEnd w:id="2"/>
      <w:r w:rsidRPr="00BE5B95">
        <w:t>Application</w:t>
      </w:r>
    </w:p>
    <w:p w:rsidR="00000000" w:rsidRPr="00BE5B95" w:rsidP="00A3442A">
      <w:pPr>
        <w:pStyle w:val="BodyText"/>
      </w:pPr>
      <w:r w:rsidRPr="00BE5B95">
        <w:t>This unit describes the skills and knowledge required to mount and demount flexographic plates for non-routine printing.</w:t>
      </w:r>
    </w:p>
    <w:p w:rsidR="00000000" w:rsidRPr="00BE5B95" w:rsidP="00A3442A">
      <w:pPr>
        <w:pStyle w:val="BodyText"/>
      </w:pPr>
      <w:r w:rsidRPr="00BE5B95">
        <w:t>It applies to individuals, working in the graphic pre-press sector of the printing and graphic arts industry. They design l</w:t>
      </w:r>
      <w:r w:rsidRPr="00BE5B95">
        <w:t xml:space="preserve">ayouts and assemble text and graphics into page formats and set up, monitor and operate equipment and machinery as well as apply solutions to a defined range of problems associated with the print medium, and analyse and evaluate information from a variety </w:t>
      </w:r>
      <w:r w:rsidRPr="00BE5B95">
        <w:t>of sources. They may also provide leadership and guidance to others with some limited responsibility for the output of others.</w:t>
      </w:r>
    </w:p>
    <w:p w:rsidR="00000000" w:rsidRPr="00BE5B95" w:rsidP="00A3442A">
      <w:pPr>
        <w:pStyle w:val="BodyText"/>
      </w:pPr>
      <w:r w:rsidRPr="00BE5B95">
        <w:t>No licensing, legislative or certification requirements apply to this unit at the time of publication.</w:t>
      </w:r>
    </w:p>
    <w:p w:rsidR="00000000" w:rsidRPr="00BE5B95" w:rsidP="00BE5B95">
      <w:pPr>
        <w:pStyle w:val="Heading1"/>
      </w:pPr>
      <w:bookmarkStart w:id="3" w:name="O_1072868"/>
      <w:bookmarkEnd w:id="3"/>
      <w:r w:rsidRPr="00BE5B95">
        <w:t>Unit Se</w:t>
      </w:r>
      <w:r w:rsidRPr="00BE5B95">
        <w:t>ctor</w:t>
      </w:r>
    </w:p>
    <w:p w:rsidR="00000000" w:rsidRPr="00BE5B95" w:rsidP="00A3442A">
      <w:pPr>
        <w:pStyle w:val="BodyText"/>
      </w:pPr>
      <w:r w:rsidRPr="00BE5B95">
        <w:t>Printing</w:t>
      </w:r>
    </w:p>
    <w:p w:rsidR="00000000" w:rsidRPr="00BE5B95" w:rsidP="00BE5B95">
      <w:pPr>
        <w:pStyle w:val="Heading1"/>
      </w:pPr>
      <w:bookmarkStart w:id="4" w:name="O_1072867"/>
      <w:bookmarkEnd w:id="4"/>
      <w:r w:rsidRPr="00BE5B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BE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rPr>
                <w:rStyle w:val="SpecialBold"/>
              </w:rPr>
              <w:t>PERFORMANCE CRITERIA</w:t>
            </w:r>
          </w:p>
        </w:tc>
      </w:tr>
      <w:tr w:rsidTr="00BE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1. Confirm non-routine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t xml:space="preserve">1.1 Identify job requirements </w:t>
            </w:r>
          </w:p>
          <w:p w:rsidR="00000000" w:rsidRPr="00BE5B95" w:rsidP="00BE5B95">
            <w:pPr>
              <w:pStyle w:val="BodyText"/>
            </w:pPr>
            <w:r w:rsidRPr="00BE5B95">
              <w:t>1.2 Set up required printing machinery according to manufacturer specifications</w:t>
            </w:r>
          </w:p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1.3 Complete prior inspections and obtain sign off</w:t>
            </w:r>
          </w:p>
        </w:tc>
      </w:tr>
      <w:tr w:rsidTr="00BE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2. Prepare flexographic plates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t>2.1 Measure plate he</w:t>
            </w:r>
            <w:r w:rsidRPr="00BE5B95">
              <w:t>ight according to non-routine job specifications</w:t>
            </w:r>
          </w:p>
          <w:p w:rsidR="00000000" w:rsidRPr="00BE5B95" w:rsidP="00BE5B95">
            <w:pPr>
              <w:pStyle w:val="BodyText"/>
            </w:pPr>
            <w:r w:rsidRPr="00BE5B95">
              <w:t xml:space="preserve">2.2 Trim and prepare plates according to mounting system and work health and safety (WHS) requirements </w:t>
            </w:r>
          </w:p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 xml:space="preserve">2.3 Select mounting adhesive according to plate cylinder and gear requirements </w:t>
            </w:r>
          </w:p>
        </w:tc>
      </w:tr>
      <w:tr w:rsidTr="00BE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3. Prepare plate cylinder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t xml:space="preserve">3.1 Select, clean, prepare and mount required plate cylinders, seamless sleeves and gears to meet non-routine job specifications </w:t>
            </w:r>
          </w:p>
          <w:p w:rsidR="00000000" w:rsidRPr="00BE5B95" w:rsidP="00BE5B95">
            <w:pPr>
              <w:pStyle w:val="BodyText"/>
            </w:pPr>
            <w:r w:rsidRPr="00BE5B95">
              <w:t>3.2 Check total indicated runout (TIR) to be within specified tolerances on plate cylinders</w:t>
            </w:r>
          </w:p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3.4 Appl</w:t>
            </w:r>
            <w:r w:rsidRPr="00BE5B95">
              <w:t>y selected mounting adhesive to plate cylinders</w:t>
            </w:r>
          </w:p>
        </w:tc>
      </w:tr>
      <w:tr w:rsidTr="00BE5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4. Mount and demount flexographic plates on mounting/proofing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t xml:space="preserve">4.1 Mount plates to position on plate mounting sheet or camera targets </w:t>
            </w:r>
          </w:p>
          <w:p w:rsidR="00000000" w:rsidRPr="00BE5B95" w:rsidP="00BE5B95">
            <w:pPr>
              <w:pStyle w:val="BodyText"/>
            </w:pPr>
            <w:r w:rsidRPr="00BE5B95">
              <w:t xml:space="preserve">4.2 Install plate mounting sheet and tension onto plate cylinder </w:t>
            </w:r>
            <w:r w:rsidRPr="00BE5B95">
              <w:t>to specified chart number or print direction</w:t>
            </w:r>
          </w:p>
          <w:p w:rsidR="00000000" w:rsidRPr="00BE5B95" w:rsidP="00BE5B95">
            <w:pPr>
              <w:pStyle w:val="BodyText"/>
            </w:pPr>
            <w:r w:rsidRPr="00BE5B95">
              <w:t xml:space="preserve">4.3 Clean plate using cleaning solution and brush </w:t>
            </w:r>
          </w:p>
          <w:p w:rsidR="00000000" w:rsidRPr="00BE5B95" w:rsidP="00BE5B95">
            <w:pPr>
              <w:pStyle w:val="BodyText"/>
            </w:pPr>
            <w:r w:rsidRPr="00BE5B95">
              <w:t>4.4 Demount plate using required tools</w:t>
            </w:r>
          </w:p>
          <w:p w:rsidR="00000000" w:rsidRPr="00BE5B95" w:rsidP="00BE5B95">
            <w:pPr>
              <w:pStyle w:val="BodyText"/>
            </w:pPr>
            <w:r w:rsidRPr="00BE5B95">
              <w:t>4.7 Check plate for damage</w:t>
            </w:r>
          </w:p>
          <w:p w:rsidR="00000000" w:rsidRPr="00BE5B95" w:rsidP="00BE5B95">
            <w:pPr>
              <w:pStyle w:val="BodyText"/>
            </w:pPr>
            <w:r w:rsidRPr="00BE5B95">
              <w:t>4.8 Prepare plate for storage and store according to enterprise procedures</w:t>
            </w:r>
          </w:p>
        </w:tc>
      </w:tr>
    </w:tbl>
    <w:p w:rsidR="00000000" w:rsidRPr="00BE5B95" w:rsidP="00BE5B95">
      <w:pPr>
        <w:pStyle w:val="BodyText"/>
      </w:pPr>
    </w:p>
    <w:p w:rsidR="00000000" w:rsidRPr="00BE5B95" w:rsidP="00BE5B95">
      <w:pPr>
        <w:pStyle w:val="AllowPageBreak"/>
      </w:pPr>
    </w:p>
    <w:p w:rsidR="00000000" w:rsidRPr="00BE5B95" w:rsidP="00BE5B95">
      <w:pPr>
        <w:pStyle w:val="Heading1"/>
      </w:pPr>
      <w:bookmarkStart w:id="5" w:name="O_1072866"/>
      <w:bookmarkEnd w:id="5"/>
      <w:r w:rsidRPr="00BE5B95">
        <w:t>Foundation Skills</w:t>
      </w:r>
    </w:p>
    <w:p w:rsidR="00000000" w:rsidRPr="00A3442A" w:rsidP="00A3442A">
      <w:pPr>
        <w:pStyle w:val="BodyText"/>
        <w:rPr>
          <w:i/>
        </w:rPr>
      </w:pPr>
      <w:r w:rsidRPr="00A344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77"/>
      </w:tblGrid>
      <w:tr w:rsidTr="00BE5B95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BodyText"/>
            </w:pPr>
            <w:r w:rsidRPr="00BE5B95">
              <w:rPr>
                <w:rStyle w:val="SpecialBold"/>
              </w:rPr>
              <w:t>Skill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rPr>
                <w:rStyle w:val="SpecialBold"/>
              </w:rPr>
              <w:t>Description</w:t>
            </w:r>
          </w:p>
        </w:tc>
      </w:tr>
      <w:tr w:rsidTr="00BE5B95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Numeracy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ListBullet"/>
              <w:rPr>
                <w:lang w:val="en-NZ"/>
              </w:rPr>
            </w:pPr>
            <w:r w:rsidRPr="00BE5B95">
              <w:t>Uses simple mathematical calculations and arranges sequential numerical information</w:t>
            </w:r>
          </w:p>
        </w:tc>
      </w:tr>
      <w:tr w:rsidTr="00BE5B95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 xml:space="preserve">Self-management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ListBullet"/>
              <w:rPr>
                <w:lang w:val="en-NZ"/>
              </w:rPr>
            </w:pPr>
            <w:r w:rsidRPr="00BE5B95">
              <w:t>Complies with and follows enterprise procedures relevant to own role</w:t>
            </w:r>
          </w:p>
        </w:tc>
      </w:tr>
      <w:tr w:rsidTr="00BE5B95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 xml:space="preserve">Planning and organising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ListBullet"/>
              <w:rPr>
                <w:lang w:val="en-NZ"/>
              </w:rPr>
            </w:pPr>
            <w:r w:rsidRPr="00BE5B95">
              <w:t>Takes responsibility for planning and organising own work</w:t>
            </w:r>
            <w:r w:rsidRPr="00BE5B95">
              <w:t>load, identifying ways of sequencing and combining elements for greater efficiency and assembles required resources</w:t>
            </w:r>
          </w:p>
        </w:tc>
      </w:tr>
      <w:tr w:rsidTr="00BE5B95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 xml:space="preserve">Problem solving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ListBullet"/>
              <w:rPr>
                <w:lang w:val="en-NZ"/>
              </w:rPr>
            </w:pPr>
            <w:r w:rsidRPr="00BE5B95">
              <w:t>Responds to predictable problems and implements standard or logical solutions related to role in immediate work environme</w:t>
            </w:r>
            <w:r w:rsidRPr="00BE5B95">
              <w:t>nt</w:t>
            </w:r>
          </w:p>
        </w:tc>
      </w:tr>
      <w:tr w:rsidTr="00BE5B95">
        <w:tblPrEx>
          <w:tblW w:w="94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B95">
            <w:pPr>
              <w:pStyle w:val="BodyText"/>
              <w:rPr>
                <w:lang w:val="en-NZ"/>
              </w:rPr>
            </w:pPr>
            <w:r w:rsidRPr="00BE5B95">
              <w:t>Technology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B95" w:rsidP="00BE5B95">
            <w:pPr>
              <w:pStyle w:val="ListBullet"/>
            </w:pPr>
            <w:r w:rsidRPr="00BE5B95">
              <w:t>Reads data from electronic monitoring and control systems</w:t>
            </w:r>
          </w:p>
        </w:tc>
      </w:tr>
    </w:tbl>
    <w:p w:rsidR="00A3442A" w:rsidP="00BE5B95">
      <w:pPr>
        <w:pStyle w:val="BodyText"/>
      </w:pPr>
    </w:p>
    <w:p w:rsidR="00A3442A" w:rsidP="00BE5B95">
      <w:pPr>
        <w:pStyle w:val="BodyText"/>
      </w:pPr>
    </w:p>
    <w:p w:rsidR="00000000" w:rsidRPr="00BE5B95" w:rsidP="00BE5B95">
      <w:pPr>
        <w:pStyle w:val="Heading1"/>
      </w:pPr>
      <w:bookmarkStart w:id="6" w:name="O_1072865"/>
      <w:bookmarkEnd w:id="6"/>
      <w:r w:rsidRPr="00BE5B95">
        <w:t>Unit Mapping Information</w:t>
      </w:r>
    </w:p>
    <w:p w:rsidR="00000000" w:rsidRPr="00BE5B95" w:rsidP="00A3442A">
      <w:pPr>
        <w:pStyle w:val="BodyText"/>
      </w:pPr>
      <w:r w:rsidRPr="00BE5B95">
        <w:t>Supersedes and is equivalent to ICPPRN411 Mount and demount flexographic plates for complex printing.</w:t>
      </w:r>
    </w:p>
    <w:p w:rsidR="00000000" w:rsidRPr="00BE5B95" w:rsidP="00BE5B95">
      <w:pPr>
        <w:pStyle w:val="Heading1"/>
      </w:pPr>
      <w:bookmarkStart w:id="7" w:name="O_1072858"/>
      <w:bookmarkEnd w:id="7"/>
      <w:r w:rsidRPr="00BE5B95">
        <w:t>Links</w:t>
      </w:r>
    </w:p>
    <w:p w:rsidR="00000000" w:rsidRPr="00BE5B95" w:rsidP="00A3442A">
      <w:pPr>
        <w:pStyle w:val="BodyText"/>
      </w:pPr>
      <w:r w:rsidRPr="00BE5B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E538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E5B95" w:rsidP="00BE5B95"/>
    <w:sectPr w:rsidSect="00BE5B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95" w:rsidRPr="00A3442A" w:rsidP="00A34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2A" w:rsidP="00BE5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42A" w:rsidP="00BE5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442A" w:rsidP="00BE5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B95" w:rsidRPr="00A3442A" w:rsidP="00A34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2A" w:rsidRPr="002D2AF8" w:rsidP="00BE5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ICPPRN4110 Mount and demount flexographic plates for complex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3442A" w:rsidP="00BE5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3AC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3E49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B95"/>
  </w:style>
  <w:style w:type="character" w:customStyle="1" w:styleId="Heading1Char">
    <w:name w:val="Heading 1 Char"/>
    <w:basedOn w:val="DefaultParagraphFont"/>
    <w:link w:val="Heading1"/>
    <w:rsid w:val="00BE5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B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B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B95"/>
    <w:rPr>
      <w:b/>
      <w:spacing w:val="0"/>
    </w:rPr>
  </w:style>
  <w:style w:type="character" w:styleId="Emphasis">
    <w:name w:val="Emphasis"/>
    <w:basedOn w:val="DefaultParagraphFont"/>
    <w:qFormat/>
    <w:rsid w:val="00BE5B95"/>
    <w:rPr>
      <w:i/>
    </w:rPr>
  </w:style>
  <w:style w:type="paragraph" w:customStyle="1" w:styleId="SuperHeading">
    <w:name w:val="SuperHeading"/>
    <w:basedOn w:val="Normal"/>
    <w:rsid w:val="00BE5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B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B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B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5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B95"/>
  </w:style>
  <w:style w:type="paragraph" w:styleId="TableofFigures">
    <w:name w:val="table of figures"/>
    <w:basedOn w:val="Normal"/>
    <w:next w:val="Normal"/>
    <w:semiHidden/>
    <w:rsid w:val="00BE5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B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5B95"/>
    <w:rPr>
      <w:rFonts w:ascii="Wingdings" w:hAnsi="Wingdings"/>
    </w:rPr>
  </w:style>
  <w:style w:type="paragraph" w:customStyle="1" w:styleId="TableHeading">
    <w:name w:val="Table Heading"/>
    <w:basedOn w:val="HeadingBase"/>
    <w:rsid w:val="00BE5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B95"/>
    <w:rPr>
      <w:color w:val="0033CC"/>
      <w:u w:val="none"/>
    </w:rPr>
  </w:style>
  <w:style w:type="paragraph" w:customStyle="1" w:styleId="BodyTextRight">
    <w:name w:val="Body Text Right"/>
    <w:basedOn w:val="BodyText"/>
    <w:rsid w:val="00BE5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B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B95"/>
    <w:rPr>
      <w:sz w:val="32"/>
    </w:rPr>
  </w:style>
  <w:style w:type="paragraph" w:customStyle="1" w:styleId="HeadingProcedure">
    <w:name w:val="Heading Procedure"/>
    <w:basedOn w:val="HeadingBase"/>
    <w:next w:val="Normal"/>
    <w:rsid w:val="00BE5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B95"/>
    <w:pPr>
      <w:spacing w:before="60" w:after="60"/>
    </w:pPr>
  </w:style>
  <w:style w:type="paragraph" w:styleId="ListContinue">
    <w:name w:val="List Continue"/>
    <w:basedOn w:val="List"/>
    <w:rsid w:val="00BE5B95"/>
    <w:pPr>
      <w:ind w:firstLine="0"/>
    </w:pPr>
  </w:style>
  <w:style w:type="paragraph" w:customStyle="1" w:styleId="ListNote">
    <w:name w:val="List Note"/>
    <w:basedOn w:val="List"/>
    <w:rsid w:val="00BE5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B95"/>
    <w:rPr>
      <w:rFonts w:ascii="Courier New" w:hAnsi="Courier New"/>
    </w:rPr>
  </w:style>
  <w:style w:type="paragraph" w:customStyle="1" w:styleId="NoteBullet">
    <w:name w:val="Note Bullet"/>
    <w:basedOn w:val="Note"/>
    <w:rsid w:val="00BE5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B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5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B95"/>
    <w:rPr>
      <w:b/>
      <w:smallCaps/>
    </w:rPr>
  </w:style>
  <w:style w:type="paragraph" w:customStyle="1" w:styleId="TableListNumber">
    <w:name w:val="Table List Number"/>
    <w:basedOn w:val="ListNumber"/>
    <w:rsid w:val="00BE5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B95"/>
    <w:pPr>
      <w:numPr>
        <w:numId w:val="8"/>
      </w:numPr>
    </w:pPr>
  </w:style>
  <w:style w:type="paragraph" w:customStyle="1" w:styleId="ListAlpha2">
    <w:name w:val="List Alpha 2"/>
    <w:basedOn w:val="List2"/>
    <w:rsid w:val="00BE5B95"/>
    <w:pPr>
      <w:numPr>
        <w:numId w:val="7"/>
      </w:numPr>
    </w:pPr>
  </w:style>
  <w:style w:type="paragraph" w:styleId="List2">
    <w:name w:val="List 2"/>
    <w:basedOn w:val="BodyText"/>
    <w:rsid w:val="00BE5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B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B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5B95"/>
    <w:pPr>
      <w:numPr>
        <w:numId w:val="3"/>
      </w:numPr>
    </w:pPr>
  </w:style>
  <w:style w:type="paragraph" w:styleId="ListContinue2">
    <w:name w:val="List Continue 2"/>
    <w:basedOn w:val="List2"/>
    <w:rsid w:val="00BE5B95"/>
    <w:pPr>
      <w:ind w:firstLine="0"/>
    </w:pPr>
  </w:style>
  <w:style w:type="paragraph" w:styleId="ListContinue3">
    <w:name w:val="List Continue 3"/>
    <w:basedOn w:val="List3"/>
    <w:rsid w:val="00BE5B95"/>
    <w:pPr>
      <w:ind w:left="1021" w:firstLine="0"/>
    </w:pPr>
  </w:style>
  <w:style w:type="paragraph" w:styleId="ListContinue4">
    <w:name w:val="List Continue 4"/>
    <w:basedOn w:val="List4"/>
    <w:rsid w:val="00BE5B95"/>
    <w:pPr>
      <w:ind w:firstLine="0"/>
    </w:pPr>
  </w:style>
  <w:style w:type="paragraph" w:styleId="ListContinue5">
    <w:name w:val="List Continue 5"/>
    <w:basedOn w:val="List5"/>
    <w:rsid w:val="00BE5B95"/>
    <w:pPr>
      <w:ind w:firstLine="0"/>
    </w:pPr>
  </w:style>
  <w:style w:type="paragraph" w:styleId="ListNumber3">
    <w:name w:val="List Number 3"/>
    <w:basedOn w:val="List3"/>
    <w:rsid w:val="00BE5B95"/>
    <w:pPr>
      <w:numPr>
        <w:numId w:val="4"/>
      </w:numPr>
    </w:pPr>
  </w:style>
  <w:style w:type="paragraph" w:styleId="ListNumber4">
    <w:name w:val="List Number 4"/>
    <w:basedOn w:val="List4"/>
    <w:rsid w:val="00BE5B95"/>
    <w:pPr>
      <w:numPr>
        <w:numId w:val="5"/>
      </w:numPr>
    </w:pPr>
  </w:style>
  <w:style w:type="paragraph" w:styleId="ListNumber5">
    <w:name w:val="List Number 5"/>
    <w:basedOn w:val="List5"/>
    <w:rsid w:val="00BE5B95"/>
    <w:pPr>
      <w:numPr>
        <w:numId w:val="6"/>
      </w:numPr>
    </w:pPr>
  </w:style>
  <w:style w:type="paragraph" w:styleId="BlockText">
    <w:name w:val="Block Text"/>
    <w:basedOn w:val="Normal"/>
    <w:rsid w:val="00BE5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B95"/>
    <w:rPr>
      <w:sz w:val="16"/>
      <w:vertAlign w:val="superscript"/>
    </w:rPr>
  </w:style>
  <w:style w:type="character" w:customStyle="1" w:styleId="Symbols">
    <w:name w:val="Symbols"/>
    <w:basedOn w:val="DefaultParagraphFont"/>
    <w:rsid w:val="00BE5B95"/>
    <w:rPr>
      <w:rFonts w:ascii="Symbol" w:hAnsi="Symbol"/>
    </w:rPr>
  </w:style>
  <w:style w:type="character" w:customStyle="1" w:styleId="MenuOptions">
    <w:name w:val="Menu Options"/>
    <w:basedOn w:val="DefaultParagraphFont"/>
    <w:rsid w:val="00BE5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B95"/>
    <w:rPr>
      <w:b/>
    </w:rPr>
  </w:style>
  <w:style w:type="character" w:customStyle="1" w:styleId="Underlined">
    <w:name w:val="Underlined"/>
    <w:basedOn w:val="DefaultParagraphFont"/>
    <w:rsid w:val="00BE5B95"/>
    <w:rPr>
      <w:u w:val="single"/>
    </w:rPr>
  </w:style>
  <w:style w:type="paragraph" w:customStyle="1" w:styleId="TableBodyTextRight">
    <w:name w:val="Table Body Text Right"/>
    <w:basedOn w:val="TableBodyText"/>
    <w:rsid w:val="00BE5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B95"/>
    <w:rPr>
      <w:sz w:val="18"/>
    </w:rPr>
  </w:style>
  <w:style w:type="paragraph" w:customStyle="1" w:styleId="BodySmallRight">
    <w:name w:val="Body Small Right"/>
    <w:basedOn w:val="BodyTextRight"/>
    <w:rsid w:val="00BE5B95"/>
    <w:rPr>
      <w:sz w:val="18"/>
      <w:szCs w:val="18"/>
    </w:rPr>
  </w:style>
  <w:style w:type="paragraph" w:customStyle="1" w:styleId="MarginEdition">
    <w:name w:val="Margin Edition"/>
    <w:basedOn w:val="MarginNote"/>
    <w:rsid w:val="00BE5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B95"/>
    <w:rPr>
      <w:sz w:val="2"/>
      <w:szCs w:val="2"/>
    </w:rPr>
  </w:style>
  <w:style w:type="character" w:customStyle="1" w:styleId="Small">
    <w:name w:val="Small"/>
    <w:basedOn w:val="DefaultParagraphFont"/>
    <w:rsid w:val="00BE5B95"/>
    <w:rPr>
      <w:sz w:val="16"/>
    </w:rPr>
  </w:style>
  <w:style w:type="paragraph" w:customStyle="1" w:styleId="WideTable">
    <w:name w:val="Wide Table"/>
    <w:basedOn w:val="Normal"/>
    <w:rsid w:val="00BE5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B95"/>
  </w:style>
  <w:style w:type="paragraph" w:styleId="Quote">
    <w:name w:val="Quote"/>
    <w:basedOn w:val="Heading1"/>
    <w:link w:val="QuoteChar"/>
    <w:qFormat/>
    <w:rsid w:val="00BE5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B95"/>
    <w:pPr>
      <w:pageBreakBefore/>
    </w:pPr>
  </w:style>
  <w:style w:type="paragraph" w:customStyle="1" w:styleId="Border">
    <w:name w:val="Border"/>
    <w:basedOn w:val="Normal"/>
    <w:qFormat/>
    <w:rsid w:val="00BE5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B95"/>
    <w:rPr>
      <w:u w:val="single"/>
    </w:rPr>
  </w:style>
  <w:style w:type="character" w:customStyle="1" w:styleId="BoldandItalics">
    <w:name w:val="Bold and Italics"/>
    <w:qFormat/>
    <w:rsid w:val="00BE5B95"/>
    <w:rPr>
      <w:b/>
      <w:i/>
      <w:u w:val="none"/>
    </w:rPr>
  </w:style>
  <w:style w:type="paragraph" w:styleId="BalloonText">
    <w:name w:val="Balloon Text"/>
    <w:basedOn w:val="Normal"/>
    <w:link w:val="BalloonTextChar"/>
    <w:rsid w:val="00BE5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B95"/>
    <w:pPr>
      <w:spacing w:before="0" w:after="0"/>
    </w:pPr>
  </w:style>
  <w:style w:type="paragraph" w:customStyle="1" w:styleId="BodyTextBold">
    <w:name w:val="Body Text Bold"/>
    <w:basedOn w:val="BodyText"/>
    <w:qFormat/>
    <w:rsid w:val="00BE5B95"/>
    <w:rPr>
      <w:b/>
    </w:rPr>
  </w:style>
  <w:style w:type="character" w:styleId="Hyperlink">
    <w:name w:val="Hyperlink"/>
    <w:basedOn w:val="DefaultParagraphFont"/>
    <w:uiPriority w:val="99"/>
    <w:unhideWhenUsed/>
    <w:rsid w:val="00A34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3231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ICPPRN4110 Mount and demount flexographic plates for complex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