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2F7" w:rsidP="00DF6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ICPPRN4110 Mount and demount flexographic plates for complex printing</w:t>
      </w:r>
      <w:r>
        <w:fldChar w:fldCharType="end"/>
      </w:r>
    </w:p>
    <w:p w:rsidR="00DF62F7" w:rsidP="00DF62F7">
      <w:pPr>
        <w:pStyle w:val="Version"/>
        <w:sectPr w:rsidSect="001D3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1D9" w:rsidP="001D31D9">
      <w:pPr>
        <w:pStyle w:val="SuperHeading"/>
      </w:pPr>
      <w:r w:rsidRPr="001D31D9">
        <w:t>ICPPRN4110 Mount and demount flexographic plates for complex printing</w:t>
      </w:r>
    </w:p>
    <w:p w:rsidR="00000000" w:rsidRPr="001D31D9" w:rsidP="001D31D9">
      <w:pPr>
        <w:pStyle w:val="Heading1"/>
      </w:pPr>
      <w:bookmarkStart w:id="1" w:name="O_1072864"/>
      <w:bookmarkEnd w:id="1"/>
      <w:r w:rsidRPr="001D31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rPr>
                <w:rStyle w:val="SpecialBold"/>
              </w:rPr>
              <w:t>Comments</w:t>
            </w:r>
          </w:p>
        </w:tc>
      </w:tr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t>This version first released with ICP Printing and Graphic Arts Training Package Version 4.0.</w:t>
            </w:r>
          </w:p>
        </w:tc>
      </w:tr>
    </w:tbl>
    <w:p w:rsidR="00000000" w:rsidRPr="001D31D9" w:rsidP="001D31D9">
      <w:pPr>
        <w:pStyle w:val="BodyText"/>
      </w:pPr>
    </w:p>
    <w:p w:rsidR="00000000" w:rsidRPr="001D31D9" w:rsidP="001D31D9">
      <w:pPr>
        <w:pStyle w:val="AllowPageBreak"/>
      </w:pPr>
    </w:p>
    <w:p w:rsidR="00000000" w:rsidRPr="001D31D9" w:rsidP="001D31D9">
      <w:pPr>
        <w:pStyle w:val="Heading1"/>
      </w:pPr>
      <w:bookmarkStart w:id="2" w:name="O_1072869"/>
      <w:bookmarkEnd w:id="2"/>
      <w:r w:rsidRPr="001D31D9">
        <w:t>Application</w:t>
      </w:r>
    </w:p>
    <w:p w:rsidR="00000000" w:rsidRPr="001D31D9" w:rsidP="00DF62F7">
      <w:pPr>
        <w:pStyle w:val="BodyText"/>
      </w:pPr>
      <w:r w:rsidRPr="001D31D9">
        <w:t>This unit describes the skills and knowledge required to mount and demount flexographic plates for non-routine printing.</w:t>
      </w:r>
    </w:p>
    <w:p w:rsidR="00000000" w:rsidRPr="001D31D9" w:rsidP="00DF62F7">
      <w:pPr>
        <w:pStyle w:val="BodyText"/>
      </w:pPr>
      <w:r w:rsidRPr="001D31D9">
        <w:t>It applies to individuals, working in the graphic pre-press sector of the printing and graphic arts industry. They design l</w:t>
      </w:r>
      <w:r w:rsidRPr="001D31D9">
        <w:t xml:space="preserve">ayouts and assemble text and graphics into page formats and set up, monitor and operate equipment and machinery as well as apply solutions to a defined range of problems associated with the print medium, and analyse and evaluate information from a variety </w:t>
      </w:r>
      <w:r w:rsidRPr="001D31D9">
        <w:t>of sources. They may also provide leadership and guidance to others with some limited responsibility for the output of others.</w:t>
      </w:r>
    </w:p>
    <w:p w:rsidR="00000000" w:rsidRPr="001D31D9" w:rsidP="00DF62F7">
      <w:pPr>
        <w:pStyle w:val="BodyText"/>
      </w:pPr>
      <w:r w:rsidRPr="001D31D9">
        <w:t>No licensing, legislative or certification requirements apply to this unit at the time of publication.</w:t>
      </w:r>
    </w:p>
    <w:p w:rsidR="00000000" w:rsidRPr="001D31D9" w:rsidP="001D31D9">
      <w:pPr>
        <w:pStyle w:val="Heading1"/>
      </w:pPr>
      <w:bookmarkStart w:id="3" w:name="O_1072868"/>
      <w:bookmarkEnd w:id="3"/>
      <w:r w:rsidRPr="001D31D9">
        <w:t>Unit Se</w:t>
      </w:r>
      <w:r w:rsidRPr="001D31D9">
        <w:t>ctor</w:t>
      </w:r>
    </w:p>
    <w:p w:rsidR="00000000" w:rsidRPr="001D31D9" w:rsidP="00DF62F7">
      <w:pPr>
        <w:pStyle w:val="BodyText"/>
      </w:pPr>
      <w:r w:rsidRPr="001D31D9">
        <w:t>Printing</w:t>
      </w:r>
    </w:p>
    <w:p w:rsidR="00000000" w:rsidRPr="001D31D9" w:rsidP="001D31D9">
      <w:pPr>
        <w:pStyle w:val="Heading1"/>
      </w:pPr>
      <w:bookmarkStart w:id="4" w:name="O_1072867"/>
      <w:bookmarkEnd w:id="4"/>
      <w:r w:rsidRPr="001D31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rPr>
                <w:rStyle w:val="SpecialBold"/>
              </w:rPr>
              <w:t>PERFORMANCE CRITERIA</w:t>
            </w:r>
          </w:p>
        </w:tc>
      </w:tr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t xml:space="preserve">1.1 Identify job requirements </w:t>
            </w:r>
          </w:p>
          <w:p w:rsidR="00000000" w:rsidRPr="001D31D9" w:rsidP="001D31D9">
            <w:pPr>
              <w:pStyle w:val="BodyText"/>
            </w:pPr>
            <w:r w:rsidRPr="001D31D9">
              <w:t>1.2 Set up required printing machinery according to manufacturer specifications</w:t>
            </w:r>
          </w:p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1.3 Complete prior inspections and obtain sign off</w:t>
            </w:r>
          </w:p>
        </w:tc>
      </w:tr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2. Prepare flexographic 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t>2.1 Measure plate height according to non-routine job specifications</w:t>
            </w:r>
          </w:p>
          <w:p w:rsidR="00000000" w:rsidRPr="001D31D9" w:rsidP="001D31D9">
            <w:pPr>
              <w:pStyle w:val="BodyText"/>
            </w:pPr>
            <w:r w:rsidRPr="001D31D9">
              <w:t xml:space="preserve">2.2 Trim and prepare plates according to mounting system and work health and safety (WHS) requirements </w:t>
            </w:r>
          </w:p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 xml:space="preserve">2.3 Select mounting adhesive according to plate cylinder and gear requirements </w:t>
            </w:r>
          </w:p>
        </w:tc>
      </w:tr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3.</w:t>
            </w:r>
            <w:r w:rsidRPr="001D31D9">
              <w:t xml:space="preserve"> Prepare plate cylinder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t xml:space="preserve">3.1 Select, clean, prepare and mount required plate cylinders, seamless sleeves and gears to meet non-routine job specifications </w:t>
            </w:r>
          </w:p>
          <w:p w:rsidR="00000000" w:rsidRPr="001D31D9" w:rsidP="001D31D9">
            <w:pPr>
              <w:pStyle w:val="BodyText"/>
            </w:pPr>
            <w:r w:rsidRPr="001D31D9">
              <w:t>3.2 Check total indicated runout (TIR) to be within specified tolerances on plate cylinders</w:t>
            </w:r>
          </w:p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 xml:space="preserve">3.4 Apply </w:t>
            </w:r>
            <w:r w:rsidRPr="001D31D9">
              <w:t>selected mounting adhesive to plate cylinders</w:t>
            </w:r>
          </w:p>
        </w:tc>
      </w:tr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4. Mount and demount flexographic plates on mounting/proofing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t xml:space="preserve">4.1 Mount plates to position on plate mounting sheet or camera targets </w:t>
            </w:r>
          </w:p>
          <w:p w:rsidR="00000000" w:rsidRPr="001D31D9" w:rsidP="001D31D9">
            <w:pPr>
              <w:pStyle w:val="BodyText"/>
            </w:pPr>
            <w:r w:rsidRPr="001D31D9">
              <w:t>4.2 Install plate mounting sheet and tension onto plate cylinder to</w:t>
            </w:r>
            <w:r w:rsidRPr="001D31D9">
              <w:t xml:space="preserve"> specified chart number or print direction</w:t>
            </w:r>
          </w:p>
          <w:p w:rsidR="00000000" w:rsidRPr="001D31D9" w:rsidP="001D31D9">
            <w:pPr>
              <w:pStyle w:val="BodyText"/>
            </w:pPr>
            <w:r w:rsidRPr="001D31D9">
              <w:t xml:space="preserve">4.3 Clean plate using cleaning solution and brush </w:t>
            </w:r>
          </w:p>
          <w:p w:rsidR="00000000" w:rsidRPr="001D31D9" w:rsidP="001D31D9">
            <w:pPr>
              <w:pStyle w:val="BodyText"/>
            </w:pPr>
            <w:r w:rsidRPr="001D31D9">
              <w:t>4.4 Demount plate using required tools</w:t>
            </w:r>
          </w:p>
          <w:p w:rsidR="00000000" w:rsidRPr="001D31D9" w:rsidP="001D31D9">
            <w:pPr>
              <w:pStyle w:val="BodyText"/>
            </w:pPr>
            <w:r w:rsidRPr="001D31D9">
              <w:t>4.7 Check plate for damage</w:t>
            </w:r>
          </w:p>
          <w:p w:rsidR="00000000" w:rsidRPr="001D31D9" w:rsidP="001D31D9">
            <w:pPr>
              <w:pStyle w:val="BodyText"/>
            </w:pPr>
            <w:r w:rsidRPr="001D31D9">
              <w:t>4.8 Prepare plate for storage and store according to enterprise procedures</w:t>
            </w:r>
          </w:p>
        </w:tc>
      </w:tr>
    </w:tbl>
    <w:p w:rsidR="00000000" w:rsidRPr="001D31D9" w:rsidP="001D31D9">
      <w:pPr>
        <w:pStyle w:val="BodyText"/>
      </w:pPr>
    </w:p>
    <w:p w:rsidR="00000000" w:rsidRPr="001D31D9" w:rsidP="001D31D9">
      <w:pPr>
        <w:pStyle w:val="AllowPageBreak"/>
      </w:pPr>
    </w:p>
    <w:p w:rsidR="00000000" w:rsidRPr="001D31D9" w:rsidP="001D31D9">
      <w:pPr>
        <w:pStyle w:val="Heading1"/>
      </w:pPr>
      <w:bookmarkStart w:id="5" w:name="O_1072866"/>
      <w:bookmarkEnd w:id="5"/>
      <w:r w:rsidRPr="001D31D9">
        <w:t>Foundation Skills</w:t>
      </w:r>
    </w:p>
    <w:p w:rsidR="00000000" w:rsidRPr="00DF62F7" w:rsidP="00DF62F7">
      <w:pPr>
        <w:pStyle w:val="BodyText"/>
        <w:rPr>
          <w:i/>
        </w:rPr>
      </w:pPr>
      <w:r w:rsidRPr="00DF62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77"/>
      </w:tblGrid>
      <w:tr w:rsidTr="001D31D9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rPr>
                <w:rStyle w:val="SpecialBold"/>
              </w:rPr>
              <w:t>Skill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rPr>
                <w:rStyle w:val="SpecialBold"/>
              </w:rPr>
              <w:t>Description</w:t>
            </w:r>
          </w:p>
        </w:tc>
      </w:tr>
      <w:tr w:rsidTr="001D31D9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Numeracy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ListBullet"/>
              <w:rPr>
                <w:lang w:val="en-NZ"/>
              </w:rPr>
            </w:pPr>
            <w:r w:rsidRPr="001D31D9">
              <w:t>Uses simple mathematical calculations and arranges sequential numerical information</w:t>
            </w:r>
          </w:p>
        </w:tc>
      </w:tr>
      <w:tr w:rsidTr="001D31D9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 xml:space="preserve">Self-management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ListBullet"/>
              <w:rPr>
                <w:lang w:val="en-NZ"/>
              </w:rPr>
            </w:pPr>
            <w:r w:rsidRPr="001D31D9">
              <w:t>Complies with and follows enterprise procedures relevant to own role</w:t>
            </w:r>
          </w:p>
        </w:tc>
      </w:tr>
      <w:tr w:rsidTr="001D31D9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 xml:space="preserve">Planning and organising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ListBullet"/>
              <w:rPr>
                <w:lang w:val="en-NZ"/>
              </w:rPr>
            </w:pPr>
            <w:r w:rsidRPr="001D31D9">
              <w:t>Takes responsibility for planning and organising own work</w:t>
            </w:r>
            <w:r w:rsidRPr="001D31D9">
              <w:t>load, identifying ways of sequencing and combining elements for greater efficiency and assembles required resources</w:t>
            </w:r>
          </w:p>
        </w:tc>
      </w:tr>
      <w:tr w:rsidTr="001D31D9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 xml:space="preserve">Problem solving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ListBullet"/>
              <w:rPr>
                <w:lang w:val="en-NZ"/>
              </w:rPr>
            </w:pPr>
            <w:r w:rsidRPr="001D31D9">
              <w:t xml:space="preserve">Responds to predictable problems and implements standard or logical solutions related to role in </w:t>
            </w:r>
            <w:r w:rsidRPr="001D31D9">
              <w:t>immediate work environment</w:t>
            </w:r>
          </w:p>
        </w:tc>
      </w:tr>
      <w:tr w:rsidTr="001D31D9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Technology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ListBullet"/>
            </w:pPr>
            <w:r w:rsidRPr="001D31D9">
              <w:t>Reads data from electronic monitoring and control systems</w:t>
            </w:r>
          </w:p>
        </w:tc>
      </w:tr>
    </w:tbl>
    <w:p w:rsidR="00DF62F7" w:rsidP="001D31D9">
      <w:pPr>
        <w:pStyle w:val="BodyText"/>
      </w:pPr>
    </w:p>
    <w:p w:rsidR="00DF62F7" w:rsidP="001D31D9">
      <w:pPr>
        <w:pStyle w:val="BodyText"/>
      </w:pPr>
    </w:p>
    <w:p w:rsidR="00000000" w:rsidRPr="001D31D9" w:rsidP="001D31D9">
      <w:pPr>
        <w:pStyle w:val="Heading1"/>
      </w:pPr>
      <w:bookmarkStart w:id="6" w:name="O_1072865"/>
      <w:bookmarkEnd w:id="6"/>
      <w:r w:rsidRPr="001D31D9">
        <w:t>Unit Mapping Information</w:t>
      </w:r>
    </w:p>
    <w:p w:rsidR="00000000" w:rsidRPr="001D31D9" w:rsidP="00DF62F7">
      <w:pPr>
        <w:pStyle w:val="BodyText"/>
      </w:pPr>
      <w:r w:rsidRPr="001D31D9">
        <w:t>Supersedes and is equivalent to ICPPRN411 Mount and demount flexographic plates for complex printing.</w:t>
      </w:r>
    </w:p>
    <w:p w:rsidR="00000000" w:rsidRPr="001D31D9" w:rsidP="001D31D9">
      <w:pPr>
        <w:pStyle w:val="Heading1"/>
      </w:pPr>
      <w:bookmarkStart w:id="7" w:name="O_1072858"/>
      <w:bookmarkEnd w:id="7"/>
      <w:r w:rsidRPr="001D31D9">
        <w:t>Links</w:t>
      </w:r>
    </w:p>
    <w:p w:rsidR="00000000" w:rsidRPr="001D31D9" w:rsidP="00DF62F7">
      <w:pPr>
        <w:pStyle w:val="BodyText"/>
      </w:pPr>
      <w:r w:rsidRPr="001D31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5AA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D31D9" w:rsidP="00DF62F7">
      <w:pPr>
        <w:pStyle w:val="BodyText"/>
        <w:sectPr w:rsidSect="001D31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31D9" w:rsidP="001D31D9">
      <w:pPr>
        <w:pStyle w:val="SuperHeading"/>
      </w:pPr>
      <w:r w:rsidRPr="001D31D9">
        <w:t xml:space="preserve">Assessment </w:t>
      </w:r>
      <w:r w:rsidRPr="001D31D9">
        <w:t>Requirements for ICPPRN4110 Mount and demount flexographic plates for complex printing</w:t>
      </w:r>
    </w:p>
    <w:p w:rsidR="00000000" w:rsidRPr="001D31D9" w:rsidP="001D31D9">
      <w:pPr>
        <w:pStyle w:val="Heading1"/>
      </w:pPr>
      <w:bookmarkStart w:id="8" w:name="O_1072860"/>
      <w:bookmarkEnd w:id="8"/>
      <w:r w:rsidRPr="001D31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rPr>
                <w:rStyle w:val="SpecialBold"/>
              </w:rPr>
              <w:t>Comments</w:t>
            </w:r>
          </w:p>
        </w:tc>
      </w:tr>
      <w:tr w:rsidTr="001D3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1D9">
            <w:pPr>
              <w:pStyle w:val="BodyText"/>
              <w:rPr>
                <w:lang w:val="en-NZ"/>
              </w:rPr>
            </w:pPr>
            <w:r w:rsidRPr="001D31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1D9" w:rsidP="001D31D9">
            <w:pPr>
              <w:pStyle w:val="BodyText"/>
            </w:pPr>
            <w:r w:rsidRPr="001D31D9">
              <w:t>This version first released with ICP Printing and Graphic Arts Training Package Version 4.0.</w:t>
            </w:r>
          </w:p>
        </w:tc>
      </w:tr>
    </w:tbl>
    <w:p w:rsidR="00000000" w:rsidRPr="001D31D9" w:rsidP="001D31D9">
      <w:pPr>
        <w:pStyle w:val="BodyText"/>
      </w:pPr>
    </w:p>
    <w:p w:rsidR="00000000" w:rsidRPr="001D31D9" w:rsidP="001D31D9">
      <w:pPr>
        <w:pStyle w:val="AllowPageBreak"/>
      </w:pPr>
    </w:p>
    <w:p w:rsidR="00000000" w:rsidRPr="001D31D9" w:rsidP="001D31D9">
      <w:pPr>
        <w:pStyle w:val="Heading1"/>
      </w:pPr>
      <w:bookmarkStart w:id="9" w:name="O_1072863"/>
      <w:bookmarkEnd w:id="9"/>
      <w:r w:rsidRPr="001D31D9">
        <w:t>Performance Evidence</w:t>
      </w:r>
    </w:p>
    <w:p w:rsidR="00000000" w:rsidRPr="001D31D9" w:rsidP="00DF62F7">
      <w:pPr>
        <w:pStyle w:val="BodyText"/>
      </w:pPr>
      <w:r w:rsidRPr="001D31D9">
        <w:t>The candidate must demonstrate the ability to complete the tasks outlined in the elements, performance criteria and foundation skills of this unit, including evidence of the ability to:</w:t>
      </w:r>
    </w:p>
    <w:p w:rsidR="00000000" w:rsidRPr="001D31D9" w:rsidP="001D31D9">
      <w:pPr>
        <w:pStyle w:val="ListBullet"/>
      </w:pPr>
      <w:r w:rsidRPr="001D31D9">
        <w:t>mount and demount plates and install in a flexographic printing machine for different complex print jobs on two occasions according to job specifications.</w:t>
      </w:r>
    </w:p>
    <w:p w:rsidR="00000000" w:rsidRPr="001D31D9" w:rsidP="001D31D9">
      <w:pPr>
        <w:pStyle w:val="AllowPageBreak"/>
      </w:pPr>
    </w:p>
    <w:p w:rsidR="00000000" w:rsidRPr="001D31D9" w:rsidP="001D31D9">
      <w:pPr>
        <w:pStyle w:val="Heading1"/>
      </w:pPr>
      <w:bookmarkStart w:id="10" w:name="O_1072862"/>
      <w:bookmarkEnd w:id="10"/>
      <w:r w:rsidRPr="001D31D9">
        <w:t>Knowledge Evidence</w:t>
      </w:r>
    </w:p>
    <w:p w:rsidR="00000000" w:rsidRPr="001D31D9" w:rsidP="00DF62F7">
      <w:pPr>
        <w:pStyle w:val="BodyText"/>
      </w:pPr>
      <w:r w:rsidRPr="001D31D9">
        <w:t>The candidate must be able to demonstrate knowledge to complete the tasks outlined in the elements, performance criteria and foundation skills of this unit, including knowledge of:</w:t>
      </w:r>
    </w:p>
    <w:p w:rsidR="00000000" w:rsidRPr="001D31D9" w:rsidP="001D31D9">
      <w:pPr>
        <w:pStyle w:val="ListBullet"/>
      </w:pPr>
      <w:r w:rsidRPr="001D31D9">
        <w:t>work health and safety (WHS) risks and requirements for:</w:t>
      </w:r>
    </w:p>
    <w:p w:rsidR="00000000" w:rsidRPr="001D31D9" w:rsidP="001D31D9">
      <w:pPr>
        <w:pStyle w:val="ListBullet2"/>
      </w:pPr>
      <w:r w:rsidRPr="001D31D9">
        <w:t>mounting and dem</w:t>
      </w:r>
      <w:r w:rsidRPr="001D31D9">
        <w:t>ounting plates, gears and cylinders</w:t>
      </w:r>
    </w:p>
    <w:p w:rsidR="00000000" w:rsidRPr="001D31D9" w:rsidP="001D31D9">
      <w:pPr>
        <w:pStyle w:val="ListBullet2"/>
      </w:pPr>
      <w:r w:rsidRPr="001D31D9">
        <w:t>cleaning and waste disposal</w:t>
      </w:r>
    </w:p>
    <w:p w:rsidR="00000000" w:rsidRPr="001D31D9" w:rsidP="001D31D9">
      <w:pPr>
        <w:pStyle w:val="ListBullet"/>
      </w:pPr>
      <w:r w:rsidRPr="001D31D9">
        <w:t>enterprise personnel to discuss production problems with</w:t>
      </w:r>
    </w:p>
    <w:p w:rsidR="00000000" w:rsidRPr="001D31D9" w:rsidP="001D31D9">
      <w:pPr>
        <w:pStyle w:val="ListBullet"/>
      </w:pPr>
      <w:r w:rsidRPr="001D31D9">
        <w:t>common causes of photopolymer plates crazing on the image side</w:t>
      </w:r>
    </w:p>
    <w:p w:rsidR="00000000" w:rsidRPr="001D31D9" w:rsidP="001D31D9">
      <w:pPr>
        <w:pStyle w:val="ListBullet"/>
      </w:pPr>
      <w:r w:rsidRPr="001D31D9">
        <w:t>printing plate resiliency and its purpose</w:t>
      </w:r>
    </w:p>
    <w:p w:rsidR="00000000" w:rsidRPr="001D31D9" w:rsidP="001D31D9">
      <w:pPr>
        <w:pStyle w:val="ListBullet"/>
      </w:pPr>
      <w:r w:rsidRPr="001D31D9">
        <w:t>the advantages of thin photop</w:t>
      </w:r>
      <w:r w:rsidRPr="001D31D9">
        <w:t>olymer plates in process printing</w:t>
      </w:r>
    </w:p>
    <w:p w:rsidR="00000000" w:rsidRPr="001D31D9" w:rsidP="001D31D9">
      <w:pPr>
        <w:pStyle w:val="ListBullet"/>
      </w:pPr>
      <w:r w:rsidRPr="001D31D9">
        <w:t>faults that may be detected on new plates</w:t>
      </w:r>
    </w:p>
    <w:p w:rsidR="00000000" w:rsidRPr="001D31D9" w:rsidP="001D31D9">
      <w:pPr>
        <w:pStyle w:val="ListBullet"/>
      </w:pPr>
      <w:r w:rsidRPr="001D31D9">
        <w:t>types of solvents used on photopolymer plates</w:t>
      </w:r>
    </w:p>
    <w:p w:rsidR="00000000" w:rsidRPr="001D31D9" w:rsidP="001D31D9">
      <w:pPr>
        <w:pStyle w:val="ListBullet"/>
      </w:pPr>
      <w:r w:rsidRPr="001D31D9">
        <w:t>benefits of optical mounting</w:t>
      </w:r>
    </w:p>
    <w:p w:rsidR="00000000" w:rsidRPr="001D31D9" w:rsidP="001D31D9">
      <w:pPr>
        <w:pStyle w:val="ListBullet"/>
      </w:pPr>
      <w:r w:rsidRPr="001D31D9">
        <w:t>the purpose of binding plates after mounting</w:t>
      </w:r>
    </w:p>
    <w:p w:rsidR="00000000" w:rsidRPr="001D31D9" w:rsidP="001D31D9">
      <w:pPr>
        <w:pStyle w:val="ListBullet"/>
      </w:pPr>
      <w:r w:rsidRPr="001D31D9">
        <w:t>print faults that can be eliminated by using a cushion mount</w:t>
      </w:r>
    </w:p>
    <w:p w:rsidR="00000000" w:rsidRPr="001D31D9" w:rsidP="001D31D9">
      <w:pPr>
        <w:pStyle w:val="ListBullet"/>
      </w:pPr>
      <w:r w:rsidRPr="001D31D9">
        <w:t>the result of air being trapped under plates</w:t>
      </w:r>
    </w:p>
    <w:p w:rsidR="00000000" w:rsidRPr="001D31D9" w:rsidP="001D31D9">
      <w:pPr>
        <w:pStyle w:val="ListBullet"/>
      </w:pPr>
      <w:r w:rsidRPr="001D31D9">
        <w:t>cushion mount selection for a particular job</w:t>
      </w:r>
    </w:p>
    <w:p w:rsidR="00000000" w:rsidRPr="001D31D9" w:rsidP="001D31D9">
      <w:pPr>
        <w:pStyle w:val="ListBullet"/>
      </w:pPr>
      <w:r w:rsidRPr="001D31D9">
        <w:t>methods of eliminating low spots</w:t>
      </w:r>
    </w:p>
    <w:p w:rsidR="00000000" w:rsidRPr="001D31D9" w:rsidP="001D31D9">
      <w:pPr>
        <w:pStyle w:val="ListBullet"/>
      </w:pPr>
      <w:r w:rsidRPr="001D31D9">
        <w:t>steps taken to minimise press bounce in jobs mounted more than one across</w:t>
      </w:r>
    </w:p>
    <w:p w:rsidR="00000000" w:rsidRPr="001D31D9" w:rsidP="001D31D9">
      <w:pPr>
        <w:pStyle w:val="ListBullet"/>
      </w:pPr>
      <w:r w:rsidRPr="001D31D9">
        <w:t>causes of print slur</w:t>
      </w:r>
    </w:p>
    <w:p w:rsidR="00000000" w:rsidRPr="001D31D9" w:rsidP="001D31D9">
      <w:pPr>
        <w:pStyle w:val="ListBullet"/>
      </w:pPr>
      <w:r w:rsidRPr="001D31D9">
        <w:t>checks and tolerances required for to</w:t>
      </w:r>
      <w:r w:rsidRPr="001D31D9">
        <w:t>tal indicated runout (TIR)</w:t>
      </w:r>
    </w:p>
    <w:p w:rsidR="00000000" w:rsidRPr="001D31D9" w:rsidP="001D31D9">
      <w:pPr>
        <w:pStyle w:val="ListBullet"/>
      </w:pPr>
      <w:r w:rsidRPr="001D31D9">
        <w:t>methods of preventing or minimising plate lifting</w:t>
      </w:r>
    </w:p>
    <w:p w:rsidR="00000000" w:rsidRPr="001D31D9" w:rsidP="001D31D9">
      <w:pPr>
        <w:pStyle w:val="ListBullet"/>
      </w:pPr>
      <w:r w:rsidRPr="001D31D9">
        <w:t>plate cleaning and demounting procedures that minimise damage, and visual signs of damage</w:t>
      </w:r>
    </w:p>
    <w:p w:rsidR="00000000" w:rsidRPr="001D31D9" w:rsidP="001D31D9">
      <w:pPr>
        <w:pStyle w:val="ListBullet"/>
      </w:pPr>
      <w:r w:rsidRPr="001D31D9">
        <w:t>the method used to make registering the job easier on the press</w:t>
      </w:r>
    </w:p>
    <w:p w:rsidR="00000000" w:rsidRPr="001D31D9" w:rsidP="001D31D9">
      <w:pPr>
        <w:pStyle w:val="ListBullet"/>
      </w:pPr>
      <w:r w:rsidRPr="001D31D9">
        <w:t>manufacturer manuals, ent</w:t>
      </w:r>
      <w:r w:rsidRPr="001D31D9">
        <w:t>erprise procedures and work health and safety documentation, including their location and purpose.</w:t>
      </w:r>
    </w:p>
    <w:p w:rsidR="00000000" w:rsidRPr="001D31D9" w:rsidP="001D31D9">
      <w:pPr>
        <w:pStyle w:val="AllowPageBreak"/>
      </w:pPr>
    </w:p>
    <w:p w:rsidR="00000000" w:rsidRPr="001D31D9" w:rsidP="001D31D9">
      <w:pPr>
        <w:pStyle w:val="Heading1"/>
      </w:pPr>
      <w:bookmarkStart w:id="11" w:name="O_1072861"/>
      <w:bookmarkEnd w:id="11"/>
      <w:r w:rsidRPr="001D31D9">
        <w:t>Assessment Conditions</w:t>
      </w:r>
    </w:p>
    <w:p w:rsidR="00000000" w:rsidRPr="001D31D9" w:rsidP="00DF62F7">
      <w:pPr>
        <w:pStyle w:val="BodyText"/>
      </w:pPr>
      <w:r w:rsidRPr="001D31D9">
        <w:t>Gather evidence to demonstrate consistent performance in conditions that are safe and replicate the workplace. Noise</w:t>
      </w:r>
      <w:r w:rsidRPr="001D31D9">
        <w:t xml:space="preserve"> levels, production flow, interruptions and time variances must be typical of those experienced in the printing field of work and include access to:</w:t>
      </w:r>
    </w:p>
    <w:p w:rsidR="00000000" w:rsidRPr="001D31D9" w:rsidP="001D31D9">
      <w:pPr>
        <w:pStyle w:val="ListBullet"/>
      </w:pPr>
      <w:r w:rsidRPr="001D31D9">
        <w:t>special purpose tools, equipment and materials</w:t>
      </w:r>
    </w:p>
    <w:p w:rsidR="00000000" w:rsidRPr="001D31D9" w:rsidP="001D31D9">
      <w:pPr>
        <w:pStyle w:val="ListBullet"/>
      </w:pPr>
      <w:r w:rsidRPr="001D31D9">
        <w:t>flexographic plates .</w:t>
      </w:r>
    </w:p>
    <w:p w:rsidR="00000000" w:rsidRPr="001D31D9" w:rsidP="00DF62F7">
      <w:pPr>
        <w:pStyle w:val="BodyText"/>
      </w:pPr>
      <w:r w:rsidRPr="001D31D9">
        <w:t>Assessors of this unit must satisfy t</w:t>
      </w:r>
      <w:r w:rsidRPr="001D31D9">
        <w:t>he requirements for assessors in applicable vocational education and training legislation, frameworks and/or standards.</w:t>
      </w:r>
    </w:p>
    <w:p w:rsidR="00000000" w:rsidRPr="001D31D9" w:rsidP="001D31D9">
      <w:pPr>
        <w:pStyle w:val="Heading1"/>
      </w:pPr>
      <w:bookmarkStart w:id="12" w:name="O_1072859"/>
      <w:bookmarkEnd w:id="12"/>
      <w:r w:rsidRPr="001D31D9">
        <w:t>Links</w:t>
      </w:r>
    </w:p>
    <w:p w:rsidR="00000000" w:rsidRPr="001D31D9" w:rsidP="00DF62F7">
      <w:pPr>
        <w:pStyle w:val="BodyText"/>
      </w:pPr>
      <w:r w:rsidRPr="001D31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5AA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D31D9" w:rsidP="001D31D9"/>
    <w:sectPr w:rsidSect="001D31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D9" w:rsidRPr="00DF62F7" w:rsidP="00DF6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F7" w:rsidP="001D3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2F7" w:rsidP="001D3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62F7" w:rsidP="001D31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D9" w:rsidP="001D3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62F7">
      <w:t>Approved</w:t>
    </w:r>
    <w:r w:rsidR="00DF6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62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62F7">
      <w:rPr>
        <w:noProof/>
      </w:rPr>
      <w:t>4</w:t>
    </w:r>
    <w:r>
      <w:rPr>
        <w:noProof/>
      </w:rPr>
      <w:fldChar w:fldCharType="end"/>
    </w:r>
  </w:p>
  <w:p w:rsidR="001D31D9" w:rsidP="001D3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6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62F7">
      <w:t>Manufacturing Industry Skills Alliance</w:t>
    </w:r>
    <w:r w:rsidR="00DF62F7">
      <w:fldChar w:fldCharType="end"/>
    </w:r>
  </w:p>
  <w:p w:rsidR="001D31D9" w:rsidP="001D3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1D9" w:rsidRPr="00DF62F7" w:rsidP="00DF6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F7" w:rsidRPr="002D2AF8" w:rsidP="001D3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ICPPRN4110 Mount and demount flexographic plates for complex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62F7" w:rsidP="001D31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D9" w:rsidRPr="002D2AF8" w:rsidP="001D3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62F7">
      <w:t>ICPPRN4110 Mount and demount flexographic plates for complex printing</w:t>
    </w:r>
    <w:r w:rsidR="00DF6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62F7">
      <w:rPr>
        <w:noProof/>
      </w:rPr>
      <w:t>1 March 2025</w:t>
    </w:r>
    <w:r>
      <w:fldChar w:fldCharType="end"/>
    </w:r>
  </w:p>
  <w:p w:rsidR="001D31D9" w:rsidP="001D3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FA9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045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6D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1D9"/>
  </w:style>
  <w:style w:type="character" w:customStyle="1" w:styleId="Heading1Char">
    <w:name w:val="Heading 1 Char"/>
    <w:basedOn w:val="DefaultParagraphFont"/>
    <w:link w:val="Heading1"/>
    <w:rsid w:val="001D3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1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1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1D9"/>
    <w:rPr>
      <w:b/>
      <w:spacing w:val="0"/>
    </w:rPr>
  </w:style>
  <w:style w:type="paragraph" w:styleId="ListBullet2">
    <w:name w:val="List Bullet 2"/>
    <w:basedOn w:val="List2"/>
    <w:rsid w:val="001D31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31D9"/>
    <w:rPr>
      <w:i/>
    </w:rPr>
  </w:style>
  <w:style w:type="paragraph" w:customStyle="1" w:styleId="SuperHeading">
    <w:name w:val="SuperHeading"/>
    <w:basedOn w:val="Normal"/>
    <w:rsid w:val="001D3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1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1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1D9"/>
  </w:style>
  <w:style w:type="paragraph" w:styleId="TableofFigures">
    <w:name w:val="table of figures"/>
    <w:basedOn w:val="Normal"/>
    <w:next w:val="Normal"/>
    <w:semiHidden/>
    <w:rsid w:val="001D3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1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1D9"/>
    <w:rPr>
      <w:rFonts w:ascii="Wingdings" w:hAnsi="Wingdings"/>
    </w:rPr>
  </w:style>
  <w:style w:type="paragraph" w:customStyle="1" w:styleId="TableHeading">
    <w:name w:val="Table Heading"/>
    <w:basedOn w:val="HeadingBase"/>
    <w:rsid w:val="001D3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1D9"/>
    <w:rPr>
      <w:color w:val="0033CC"/>
      <w:u w:val="none"/>
    </w:rPr>
  </w:style>
  <w:style w:type="paragraph" w:customStyle="1" w:styleId="BodyTextRight">
    <w:name w:val="Body Text Right"/>
    <w:basedOn w:val="BodyText"/>
    <w:rsid w:val="001D3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1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1D9"/>
    <w:rPr>
      <w:sz w:val="32"/>
    </w:rPr>
  </w:style>
  <w:style w:type="paragraph" w:customStyle="1" w:styleId="HeadingProcedure">
    <w:name w:val="Heading Procedure"/>
    <w:basedOn w:val="HeadingBase"/>
    <w:next w:val="Normal"/>
    <w:rsid w:val="001D3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1D9"/>
    <w:pPr>
      <w:spacing w:before="60" w:after="60"/>
    </w:pPr>
  </w:style>
  <w:style w:type="paragraph" w:styleId="ListContinue">
    <w:name w:val="List Continue"/>
    <w:basedOn w:val="List"/>
    <w:rsid w:val="001D31D9"/>
    <w:pPr>
      <w:ind w:firstLine="0"/>
    </w:pPr>
  </w:style>
  <w:style w:type="paragraph" w:customStyle="1" w:styleId="ListNote">
    <w:name w:val="List Note"/>
    <w:basedOn w:val="List"/>
    <w:rsid w:val="001D3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1D9"/>
    <w:rPr>
      <w:rFonts w:ascii="Courier New" w:hAnsi="Courier New"/>
    </w:rPr>
  </w:style>
  <w:style w:type="paragraph" w:customStyle="1" w:styleId="NoteBullet">
    <w:name w:val="Note Bullet"/>
    <w:basedOn w:val="Note"/>
    <w:rsid w:val="001D3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1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1D9"/>
    <w:rPr>
      <w:b/>
      <w:smallCaps/>
    </w:rPr>
  </w:style>
  <w:style w:type="paragraph" w:customStyle="1" w:styleId="TableListNumber">
    <w:name w:val="Table List Number"/>
    <w:basedOn w:val="ListNumber"/>
    <w:rsid w:val="001D3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1D9"/>
    <w:pPr>
      <w:numPr>
        <w:numId w:val="9"/>
      </w:numPr>
    </w:pPr>
  </w:style>
  <w:style w:type="paragraph" w:customStyle="1" w:styleId="ListAlpha2">
    <w:name w:val="List Alpha 2"/>
    <w:basedOn w:val="List2"/>
    <w:rsid w:val="001D31D9"/>
    <w:pPr>
      <w:numPr>
        <w:numId w:val="8"/>
      </w:numPr>
    </w:pPr>
  </w:style>
  <w:style w:type="paragraph" w:styleId="List2">
    <w:name w:val="List 2"/>
    <w:basedOn w:val="BodyText"/>
    <w:rsid w:val="001D3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1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1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1D9"/>
    <w:pPr>
      <w:numPr>
        <w:numId w:val="4"/>
      </w:numPr>
    </w:pPr>
  </w:style>
  <w:style w:type="paragraph" w:styleId="ListContinue2">
    <w:name w:val="List Continue 2"/>
    <w:basedOn w:val="List2"/>
    <w:rsid w:val="001D31D9"/>
    <w:pPr>
      <w:ind w:firstLine="0"/>
    </w:pPr>
  </w:style>
  <w:style w:type="paragraph" w:styleId="ListContinue3">
    <w:name w:val="List Continue 3"/>
    <w:basedOn w:val="List3"/>
    <w:rsid w:val="001D31D9"/>
    <w:pPr>
      <w:ind w:left="1021" w:firstLine="0"/>
    </w:pPr>
  </w:style>
  <w:style w:type="paragraph" w:styleId="ListContinue4">
    <w:name w:val="List Continue 4"/>
    <w:basedOn w:val="List4"/>
    <w:rsid w:val="001D31D9"/>
    <w:pPr>
      <w:ind w:firstLine="0"/>
    </w:pPr>
  </w:style>
  <w:style w:type="paragraph" w:styleId="ListContinue5">
    <w:name w:val="List Continue 5"/>
    <w:basedOn w:val="List5"/>
    <w:rsid w:val="001D31D9"/>
    <w:pPr>
      <w:ind w:firstLine="0"/>
    </w:pPr>
  </w:style>
  <w:style w:type="paragraph" w:styleId="ListNumber3">
    <w:name w:val="List Number 3"/>
    <w:basedOn w:val="List3"/>
    <w:rsid w:val="001D31D9"/>
    <w:pPr>
      <w:numPr>
        <w:numId w:val="5"/>
      </w:numPr>
    </w:pPr>
  </w:style>
  <w:style w:type="paragraph" w:styleId="ListNumber4">
    <w:name w:val="List Number 4"/>
    <w:basedOn w:val="List4"/>
    <w:rsid w:val="001D31D9"/>
    <w:pPr>
      <w:numPr>
        <w:numId w:val="6"/>
      </w:numPr>
    </w:pPr>
  </w:style>
  <w:style w:type="paragraph" w:styleId="ListNumber5">
    <w:name w:val="List Number 5"/>
    <w:basedOn w:val="List5"/>
    <w:rsid w:val="001D31D9"/>
    <w:pPr>
      <w:numPr>
        <w:numId w:val="7"/>
      </w:numPr>
    </w:pPr>
  </w:style>
  <w:style w:type="paragraph" w:styleId="BlockText">
    <w:name w:val="Block Text"/>
    <w:basedOn w:val="Normal"/>
    <w:rsid w:val="001D3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1D9"/>
    <w:rPr>
      <w:sz w:val="16"/>
      <w:vertAlign w:val="superscript"/>
    </w:rPr>
  </w:style>
  <w:style w:type="character" w:customStyle="1" w:styleId="Symbols">
    <w:name w:val="Symbols"/>
    <w:basedOn w:val="DefaultParagraphFont"/>
    <w:rsid w:val="001D31D9"/>
    <w:rPr>
      <w:rFonts w:ascii="Symbol" w:hAnsi="Symbol"/>
    </w:rPr>
  </w:style>
  <w:style w:type="character" w:customStyle="1" w:styleId="MenuOptions">
    <w:name w:val="Menu Options"/>
    <w:basedOn w:val="DefaultParagraphFont"/>
    <w:rsid w:val="001D3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1D9"/>
    <w:rPr>
      <w:b/>
    </w:rPr>
  </w:style>
  <w:style w:type="character" w:customStyle="1" w:styleId="Underlined">
    <w:name w:val="Underlined"/>
    <w:basedOn w:val="DefaultParagraphFont"/>
    <w:rsid w:val="001D31D9"/>
    <w:rPr>
      <w:u w:val="single"/>
    </w:rPr>
  </w:style>
  <w:style w:type="paragraph" w:customStyle="1" w:styleId="TableBodyTextRight">
    <w:name w:val="Table Body Text Right"/>
    <w:basedOn w:val="TableBodyText"/>
    <w:rsid w:val="001D3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1D9"/>
    <w:rPr>
      <w:sz w:val="18"/>
    </w:rPr>
  </w:style>
  <w:style w:type="paragraph" w:customStyle="1" w:styleId="BodySmallRight">
    <w:name w:val="Body Small Right"/>
    <w:basedOn w:val="BodyTextRight"/>
    <w:rsid w:val="001D31D9"/>
    <w:rPr>
      <w:sz w:val="18"/>
      <w:szCs w:val="18"/>
    </w:rPr>
  </w:style>
  <w:style w:type="paragraph" w:customStyle="1" w:styleId="MarginEdition">
    <w:name w:val="Margin Edition"/>
    <w:basedOn w:val="MarginNote"/>
    <w:rsid w:val="001D3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1D9"/>
    <w:rPr>
      <w:sz w:val="2"/>
      <w:szCs w:val="2"/>
    </w:rPr>
  </w:style>
  <w:style w:type="character" w:customStyle="1" w:styleId="Small">
    <w:name w:val="Small"/>
    <w:basedOn w:val="DefaultParagraphFont"/>
    <w:rsid w:val="001D31D9"/>
    <w:rPr>
      <w:sz w:val="16"/>
    </w:rPr>
  </w:style>
  <w:style w:type="paragraph" w:customStyle="1" w:styleId="WideTable">
    <w:name w:val="Wide Table"/>
    <w:basedOn w:val="Normal"/>
    <w:rsid w:val="001D3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1D9"/>
  </w:style>
  <w:style w:type="paragraph" w:styleId="Quote">
    <w:name w:val="Quote"/>
    <w:basedOn w:val="Heading1"/>
    <w:link w:val="QuoteChar"/>
    <w:qFormat/>
    <w:rsid w:val="001D3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1D9"/>
    <w:pPr>
      <w:pageBreakBefore/>
    </w:pPr>
  </w:style>
  <w:style w:type="paragraph" w:customStyle="1" w:styleId="Border">
    <w:name w:val="Border"/>
    <w:basedOn w:val="Normal"/>
    <w:qFormat/>
    <w:rsid w:val="001D3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1D9"/>
    <w:rPr>
      <w:u w:val="single"/>
    </w:rPr>
  </w:style>
  <w:style w:type="character" w:customStyle="1" w:styleId="BoldandItalics">
    <w:name w:val="Bold and Italics"/>
    <w:qFormat/>
    <w:rsid w:val="001D31D9"/>
    <w:rPr>
      <w:b/>
      <w:i/>
      <w:u w:val="none"/>
    </w:rPr>
  </w:style>
  <w:style w:type="paragraph" w:styleId="BalloonText">
    <w:name w:val="Balloon Text"/>
    <w:basedOn w:val="Normal"/>
    <w:link w:val="BalloonTextChar"/>
    <w:rsid w:val="001D3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1D9"/>
    <w:pPr>
      <w:spacing w:before="0" w:after="0"/>
    </w:pPr>
  </w:style>
  <w:style w:type="paragraph" w:customStyle="1" w:styleId="BodyTextBold">
    <w:name w:val="Body Text Bold"/>
    <w:basedOn w:val="BodyText"/>
    <w:qFormat/>
    <w:rsid w:val="001D31D9"/>
    <w:rPr>
      <w:b/>
    </w:rPr>
  </w:style>
  <w:style w:type="character" w:styleId="Hyperlink">
    <w:name w:val="Hyperlink"/>
    <w:basedOn w:val="DefaultParagraphFont"/>
    <w:uiPriority w:val="99"/>
    <w:unhideWhenUsed/>
    <w:rsid w:val="00DF6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5609</Characters>
  <Application>Microsoft Office Word</Application>
  <DocSecurity>0</DocSecurity>
  <Lines>169</Lines>
  <Paragraphs>116</Paragraphs>
  <ScaleCrop>false</ScaleCrop>
  <Company>Author-it Software Corporation Ltd.</Company>
  <LinksUpToDate>false</LinksUpToDate>
  <CharactersWithSpaces>6394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ICPPRN4110 Mount and demount flexographic plates for complex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