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D93" w:rsidP="00B67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ICPPRN394 Produce complex relief printed product</w:t>
      </w:r>
      <w:r>
        <w:fldChar w:fldCharType="end"/>
      </w:r>
    </w:p>
    <w:p w:rsidR="00B67D93" w:rsidP="00B67D93">
      <w:pPr>
        <w:pStyle w:val="Version"/>
        <w:sectPr w:rsidSect="002A7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4A0" w:rsidP="002A74A0">
      <w:pPr>
        <w:pStyle w:val="SuperHeading"/>
      </w:pPr>
      <w:r w:rsidRPr="002A74A0">
        <w:t>Assessment Requirements for ICPPRN394 Produce complex relief printed product</w:t>
      </w:r>
    </w:p>
    <w:p w:rsidR="00000000" w:rsidRPr="002A74A0" w:rsidP="002A74A0">
      <w:pPr>
        <w:pStyle w:val="Heading1"/>
      </w:pPr>
      <w:bookmarkStart w:id="1" w:name="O_688438"/>
      <w:bookmarkEnd w:id="1"/>
      <w:r w:rsidRPr="002A74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7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A0" w:rsidP="002A74A0">
            <w:pPr>
              <w:pStyle w:val="BodyText"/>
            </w:pPr>
            <w:r w:rsidRPr="002A74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A0">
            <w:pPr>
              <w:pStyle w:val="BodyText"/>
              <w:rPr>
                <w:lang w:val="en-NZ"/>
              </w:rPr>
            </w:pPr>
            <w:r w:rsidRPr="002A74A0">
              <w:rPr>
                <w:rStyle w:val="SpecialBold"/>
              </w:rPr>
              <w:t>Comments</w:t>
            </w:r>
          </w:p>
        </w:tc>
      </w:tr>
      <w:tr w:rsidTr="002A7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A0">
            <w:pPr>
              <w:pStyle w:val="BodyText"/>
              <w:rPr>
                <w:lang w:val="en-NZ"/>
              </w:rPr>
            </w:pPr>
            <w:r w:rsidRPr="002A74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A0" w:rsidP="002A74A0">
            <w:pPr>
              <w:pStyle w:val="BodyText"/>
            </w:pPr>
            <w:r w:rsidRPr="002A74A0">
              <w:t>This version first released with ICP Printing and Graphic Arts Training Package Version 1.0.</w:t>
            </w:r>
          </w:p>
        </w:tc>
      </w:tr>
    </w:tbl>
    <w:p w:rsidR="00000000" w:rsidRPr="002A74A0" w:rsidP="002A74A0">
      <w:pPr>
        <w:pStyle w:val="BodyText"/>
      </w:pPr>
    </w:p>
    <w:p w:rsidR="00000000" w:rsidRPr="002A74A0" w:rsidP="002A74A0">
      <w:pPr>
        <w:pStyle w:val="AllowPageBreak"/>
      </w:pPr>
    </w:p>
    <w:p w:rsidR="00000000" w:rsidRPr="002A74A0" w:rsidP="002A74A0">
      <w:pPr>
        <w:pStyle w:val="Heading1"/>
      </w:pPr>
      <w:bookmarkStart w:id="2" w:name="O_688439"/>
      <w:bookmarkEnd w:id="2"/>
      <w:r w:rsidRPr="002A74A0">
        <w:t>Performance Evidence</w:t>
      </w:r>
    </w:p>
    <w:p w:rsidR="00000000" w:rsidRPr="002A74A0" w:rsidP="00B67D93">
      <w:pPr>
        <w:pStyle w:val="BodyText"/>
      </w:pPr>
      <w:r w:rsidRPr="002A74A0">
        <w:t>Evidence of the ability to:</w:t>
      </w:r>
    </w:p>
    <w:p w:rsidR="00000000" w:rsidRPr="002A74A0" w:rsidP="002A74A0">
      <w:pPr>
        <w:pStyle w:val="ListBullet"/>
      </w:pPr>
      <w:r w:rsidRPr="002A74A0">
        <w:t>accurately monitor production output and make necessary adjustments to maintain print quality on a relief printing machine while producing a complex print on TWO occasions (if possible using different subst</w:t>
      </w:r>
      <w:r w:rsidRPr="002A74A0">
        <w:t>rates and at least two in-line processes) according to job specifications, enterprise procedures and work health and safety (WHS) requirements.</w:t>
      </w:r>
    </w:p>
    <w:p w:rsidR="00000000" w:rsidRPr="002A74A0" w:rsidP="002A74A0">
      <w:pPr>
        <w:pStyle w:val="BodyText"/>
      </w:pPr>
    </w:p>
    <w:p w:rsidR="00000000" w:rsidRPr="002A74A0" w:rsidP="00B67D93">
      <w:pPr>
        <w:pStyle w:val="BodyText"/>
      </w:pPr>
      <w:r w:rsidRPr="002A74A0">
        <w:t>Note: If a specific volume or frequency is not stated, then evidence must be provided at least once.</w:t>
      </w:r>
    </w:p>
    <w:p w:rsidR="00000000" w:rsidRPr="002A74A0" w:rsidP="002A74A0">
      <w:pPr>
        <w:pStyle w:val="Heading1"/>
      </w:pPr>
      <w:bookmarkStart w:id="3" w:name="O_688440"/>
      <w:bookmarkEnd w:id="3"/>
      <w:r w:rsidRPr="002A74A0">
        <w:t>Knowledge Evidence</w:t>
      </w:r>
    </w:p>
    <w:p w:rsidR="00000000" w:rsidRPr="002A74A0" w:rsidP="00B67D93">
      <w:pPr>
        <w:pStyle w:val="BodyText"/>
      </w:pPr>
      <w:r w:rsidRPr="002A74A0">
        <w:t>To complete the unit requirements safely and effectively, the individual must:</w:t>
      </w:r>
    </w:p>
    <w:p w:rsidR="00000000" w:rsidRPr="002A74A0" w:rsidP="002A74A0">
      <w:pPr>
        <w:pStyle w:val="ListBullet"/>
      </w:pPr>
      <w:r w:rsidRPr="002A74A0">
        <w:t>outline major WHS concerns of setting up the reel transportation system</w:t>
      </w:r>
    </w:p>
    <w:p w:rsidR="00000000" w:rsidRPr="002A74A0" w:rsidP="002A74A0">
      <w:pPr>
        <w:pStyle w:val="ListBullet"/>
      </w:pPr>
      <w:r w:rsidRPr="002A74A0">
        <w:t>describe possible causes of reel wandering and web breaks at the unwind unit</w:t>
      </w:r>
    </w:p>
    <w:p w:rsidR="00000000" w:rsidRPr="002A74A0" w:rsidP="002A74A0">
      <w:pPr>
        <w:pStyle w:val="ListBullet"/>
      </w:pPr>
      <w:r w:rsidRPr="002A74A0">
        <w:t>outline print faults resulting from the reel being run out of centre</w:t>
      </w:r>
    </w:p>
    <w:p w:rsidR="00000000" w:rsidRPr="002A74A0" w:rsidP="002A74A0">
      <w:pPr>
        <w:pStyle w:val="ListBullet"/>
      </w:pPr>
      <w:r w:rsidRPr="002A74A0">
        <w:t>outline major WHS concerns of setting up the sheet transportation system</w:t>
      </w:r>
    </w:p>
    <w:p w:rsidR="00000000" w:rsidRPr="002A74A0" w:rsidP="002A74A0">
      <w:pPr>
        <w:pStyle w:val="ListBullet"/>
      </w:pPr>
      <w:r w:rsidRPr="002A74A0">
        <w:t>identify the result of worn suckers at the feeder suction head</w:t>
      </w:r>
    </w:p>
    <w:p w:rsidR="00000000" w:rsidRPr="002A74A0" w:rsidP="002A74A0">
      <w:pPr>
        <w:pStyle w:val="ListBullet"/>
      </w:pPr>
      <w:r w:rsidRPr="002A74A0">
        <w:t>describe the two-sheet detection on the machine, an</w:t>
      </w:r>
      <w:r w:rsidRPr="002A74A0">
        <w:t>d the amount of movement the sheet should have when being registered by the side lay</w:t>
      </w:r>
    </w:p>
    <w:p w:rsidR="00000000" w:rsidRPr="002A74A0" w:rsidP="002A74A0">
      <w:pPr>
        <w:pStyle w:val="ListBullet"/>
      </w:pPr>
      <w:r w:rsidRPr="002A74A0">
        <w:t>outline possible causes of mis-register of the sheet feeder and visible signs of the sheet being registered in the feeder</w:t>
      </w:r>
    </w:p>
    <w:p w:rsidR="00000000" w:rsidRPr="002A74A0" w:rsidP="002A74A0">
      <w:pPr>
        <w:pStyle w:val="ListBullet"/>
      </w:pPr>
      <w:r w:rsidRPr="002A74A0">
        <w:t>describe a gripper malfunction of sheet control a</w:t>
      </w:r>
      <w:r w:rsidRPr="002A74A0">
        <w:t>nd transfer, and the sheet transfer mechanisms that require adjusting</w:t>
      </w:r>
    </w:p>
    <w:p w:rsidR="00000000" w:rsidRPr="002A74A0" w:rsidP="002A74A0">
      <w:pPr>
        <w:pStyle w:val="ListBullet"/>
      </w:pPr>
      <w:r w:rsidRPr="002A74A0">
        <w:t>identify causes of the feeder stack becoming uneven, and the result if the feeder stack not loaded level</w:t>
      </w:r>
    </w:p>
    <w:p w:rsidR="00000000" w:rsidRPr="002A74A0" w:rsidP="002A74A0">
      <w:pPr>
        <w:pStyle w:val="ListBullet"/>
      </w:pPr>
      <w:r w:rsidRPr="002A74A0">
        <w:t>describe the process of reel delivery for rewinding and sheeting and the associat</w:t>
      </w:r>
      <w:r w:rsidRPr="002A74A0">
        <w:t>ed WHS risks</w:t>
      </w:r>
    </w:p>
    <w:p w:rsidR="00000000" w:rsidRPr="002A74A0" w:rsidP="002A74A0">
      <w:pPr>
        <w:pStyle w:val="ListBullet"/>
      </w:pPr>
      <w:r w:rsidRPr="002A74A0">
        <w:t>list the safety feature in the delivery system if the web jams up, and reasons for sheet cut-off wander</w:t>
      </w:r>
    </w:p>
    <w:p w:rsidR="00000000" w:rsidRPr="002A74A0" w:rsidP="002A74A0">
      <w:pPr>
        <w:pStyle w:val="ListBullet"/>
      </w:pPr>
      <w:r w:rsidRPr="002A74A0">
        <w:t>describe the effect of poorly adjusted nip rollers when rewinding and sheeting</w:t>
      </w:r>
    </w:p>
    <w:p w:rsidR="00000000" w:rsidRPr="002A74A0" w:rsidP="002A74A0">
      <w:pPr>
        <w:pStyle w:val="ListBullet"/>
      </w:pPr>
      <w:r w:rsidRPr="002A74A0">
        <w:t xml:space="preserve">outline the effect machine speed has on sheet delivery, and </w:t>
      </w:r>
      <w:r w:rsidRPr="002A74A0">
        <w:t>the advantage of spraying moving sheets with anti-set-off powder in delivery</w:t>
      </w:r>
    </w:p>
    <w:p w:rsidR="00000000" w:rsidRPr="002A74A0" w:rsidP="002A74A0">
      <w:pPr>
        <w:pStyle w:val="ListBullet"/>
      </w:pPr>
      <w:r w:rsidRPr="002A74A0">
        <w:t xml:space="preserve">outline items in the delivery that can cause marking on the printed image, and remedial steps necessary to eliminate marking </w:t>
      </w:r>
    </w:p>
    <w:p w:rsidR="00000000" w:rsidRPr="002A74A0" w:rsidP="002A74A0">
      <w:pPr>
        <w:pStyle w:val="ListBullet"/>
      </w:pPr>
      <w:r w:rsidRPr="002A74A0">
        <w:t>outline faults from incorrectly set grippers in the t</w:t>
      </w:r>
      <w:r w:rsidRPr="002A74A0">
        <w:t>ransfer section of a machine, and devices to adjust to maintain sheet control in the delivery</w:t>
      </w:r>
    </w:p>
    <w:p w:rsidR="00000000" w:rsidRPr="002A74A0" w:rsidP="002A74A0">
      <w:pPr>
        <w:pStyle w:val="ListBullet"/>
      </w:pPr>
      <w:r w:rsidRPr="002A74A0">
        <w:t>identify the result if the plate lifts at the grip edge during a print run, and build-up of ink on the impression cylinder affecting printed product</w:t>
      </w:r>
    </w:p>
    <w:p w:rsidR="00000000" w:rsidRPr="002A74A0" w:rsidP="002A74A0">
      <w:pPr>
        <w:pStyle w:val="ListBullet"/>
      </w:pPr>
      <w:r w:rsidRPr="002A74A0">
        <w:t>list possible</w:t>
      </w:r>
      <w:r w:rsidRPr="002A74A0">
        <w:t xml:space="preserve"> causes of ink leaking back in the duct</w:t>
      </w:r>
    </w:p>
    <w:p w:rsidR="00000000" w:rsidRPr="002A74A0" w:rsidP="002A74A0">
      <w:pPr>
        <w:pStyle w:val="ListBullet"/>
      </w:pPr>
      <w:r w:rsidRPr="002A74A0">
        <w:t>outline the problem of paper surface picking being rectified</w:t>
      </w:r>
    </w:p>
    <w:p w:rsidR="00000000" w:rsidRPr="002A74A0" w:rsidP="002A74A0">
      <w:pPr>
        <w:pStyle w:val="ListBullet"/>
      </w:pPr>
      <w:r w:rsidRPr="002A74A0">
        <w:t>identify causes of diminished impression during the print run</w:t>
      </w:r>
    </w:p>
    <w:p w:rsidR="00000000" w:rsidRPr="002A74A0" w:rsidP="002A74A0">
      <w:pPr>
        <w:pStyle w:val="ListBullet"/>
      </w:pPr>
      <w:r w:rsidRPr="002A74A0">
        <w:t>identify causes of plate surface prematurely wearing during production</w:t>
      </w:r>
    </w:p>
    <w:p w:rsidR="00000000" w:rsidRPr="002A74A0" w:rsidP="002A74A0">
      <w:pPr>
        <w:pStyle w:val="ListBullet"/>
      </w:pPr>
      <w:r w:rsidRPr="002A74A0">
        <w:t>describe possible issues if eating or drinking near the machine when using UV inks</w:t>
      </w:r>
    </w:p>
    <w:p w:rsidR="00000000" w:rsidRPr="002A74A0" w:rsidP="002A74A0">
      <w:pPr>
        <w:pStyle w:val="ListBullet"/>
      </w:pPr>
      <w:r w:rsidRPr="002A74A0">
        <w:t>identify link between driers and set-off and marking, and what causes UV ink to dry</w:t>
      </w:r>
    </w:p>
    <w:p w:rsidR="00000000" w:rsidRPr="002A74A0" w:rsidP="002A74A0">
      <w:pPr>
        <w:pStyle w:val="ListBullet"/>
      </w:pPr>
      <w:r w:rsidRPr="002A74A0">
        <w:t>identify causes of substrate blistering and the effect of incorrect drying temperature on</w:t>
      </w:r>
      <w:r w:rsidRPr="002A74A0">
        <w:t xml:space="preserve"> finished product </w:t>
      </w:r>
    </w:p>
    <w:p w:rsidR="00000000" w:rsidRPr="002A74A0" w:rsidP="002A74A0">
      <w:pPr>
        <w:pStyle w:val="ListBullet"/>
      </w:pPr>
      <w:r w:rsidRPr="002A74A0">
        <w:t>outline major WHS concerns when operating cutting devices, and importance of checking consistency of the cutting and creasing unit</w:t>
      </w:r>
    </w:p>
    <w:p w:rsidR="00000000" w:rsidRPr="002A74A0" w:rsidP="002A74A0">
      <w:pPr>
        <w:pStyle w:val="ListBullet"/>
      </w:pPr>
      <w:r w:rsidRPr="002A74A0">
        <w:t>identify the result of excessive pressure on the slitters, and the benefit of die cutting using a rotary d</w:t>
      </w:r>
      <w:r w:rsidRPr="002A74A0">
        <w:t>ie</w:t>
      </w:r>
    </w:p>
    <w:p w:rsidR="00000000" w:rsidRPr="002A74A0" w:rsidP="002A74A0">
      <w:pPr>
        <w:pStyle w:val="ListBullet"/>
      </w:pPr>
      <w:r w:rsidRPr="002A74A0">
        <w:t>outline advantages of using a perforation wheel to perforate</w:t>
      </w:r>
    </w:p>
    <w:p w:rsidR="00000000" w:rsidRPr="002A74A0" w:rsidP="002A74A0">
      <w:pPr>
        <w:pStyle w:val="ListBullet"/>
      </w:pPr>
      <w:r w:rsidRPr="002A74A0">
        <w:t>describe the effect of inadequate communication within the work team on a relief printing machine</w:t>
      </w:r>
    </w:p>
    <w:p w:rsidR="00000000" w:rsidRPr="002A74A0" w:rsidP="002A74A0">
      <w:pPr>
        <w:pStyle w:val="ListBullet"/>
      </w:pPr>
      <w:r w:rsidRPr="002A74A0">
        <w:t>describe importance of safety features within organisation and in maintaining effective produc</w:t>
      </w:r>
      <w:r w:rsidRPr="002A74A0">
        <w:t>tion</w:t>
      </w:r>
    </w:p>
    <w:p w:rsidR="00000000" w:rsidRPr="002A74A0" w:rsidP="002A74A0">
      <w:pPr>
        <w:pStyle w:val="ListBullet"/>
      </w:pPr>
      <w:r w:rsidRPr="002A74A0">
        <w:t>identify ramifications if machine guards are removed and/or micro switches are disconnected on a machine</w:t>
      </w:r>
    </w:p>
    <w:p w:rsidR="00000000" w:rsidRPr="002A74A0" w:rsidP="002A74A0">
      <w:pPr>
        <w:pStyle w:val="ListBullet"/>
      </w:pPr>
      <w:r w:rsidRPr="002A74A0">
        <w:t>explain legal responsibility for removal of machine guards and/or disconnection of micro switches</w:t>
      </w:r>
    </w:p>
    <w:p w:rsidR="00000000" w:rsidRPr="002A74A0" w:rsidP="002A74A0">
      <w:pPr>
        <w:pStyle w:val="ListBullet"/>
      </w:pPr>
      <w:r w:rsidRPr="002A74A0">
        <w:t>identify measurement other than optimum solid in</w:t>
      </w:r>
      <w:r w:rsidRPr="002A74A0">
        <w:t>k density that can be used to assess print quality</w:t>
      </w:r>
    </w:p>
    <w:p w:rsidR="00000000" w:rsidRPr="002A74A0" w:rsidP="002A74A0">
      <w:pPr>
        <w:pStyle w:val="ListBullet"/>
      </w:pPr>
      <w:r w:rsidRPr="002A74A0">
        <w:t>identify the most accurate method of checking register during a production run</w:t>
      </w:r>
    </w:p>
    <w:p w:rsidR="00000000" w:rsidRPr="002A74A0" w:rsidP="002A74A0">
      <w:pPr>
        <w:pStyle w:val="ListBullet"/>
      </w:pPr>
      <w:r w:rsidRPr="002A74A0">
        <w:t>explain actions to take when production problems are anticipated and to eliminate further processing of unacceptable printed p</w:t>
      </w:r>
      <w:r w:rsidRPr="002A74A0">
        <w:t>roduct</w:t>
      </w:r>
    </w:p>
    <w:p w:rsidR="00000000" w:rsidRPr="002A74A0" w:rsidP="002A74A0">
      <w:pPr>
        <w:pStyle w:val="ListBullet"/>
      </w:pPr>
      <w:r w:rsidRPr="002A74A0">
        <w:t>describe the effect on a stack of paper if relative humidity is increased in the press room, and the procedure to care for a newly delivered skid of paper to the press room</w:t>
      </w:r>
    </w:p>
    <w:p w:rsidR="00000000" w:rsidRPr="002A74A0" w:rsidP="002A74A0">
      <w:pPr>
        <w:pStyle w:val="ListBullet"/>
      </w:pPr>
      <w:r w:rsidRPr="002A74A0">
        <w:t>explain reasons for sorting waste and advantages of keeping reusable waste</w:t>
      </w:r>
    </w:p>
    <w:p w:rsidR="00000000" w:rsidRPr="002A74A0" w:rsidP="002A74A0">
      <w:pPr>
        <w:pStyle w:val="ListBullet"/>
      </w:pPr>
      <w:r w:rsidRPr="002A74A0">
        <w:t>e</w:t>
      </w:r>
      <w:r w:rsidRPr="002A74A0">
        <w:t>xplain industry standards to enhance effective communication with clients and necessary procedures clients should follow to approve a printed product</w:t>
      </w:r>
    </w:p>
    <w:p w:rsidR="00000000" w:rsidRPr="002A74A0" w:rsidP="002A74A0">
      <w:pPr>
        <w:pStyle w:val="ListBullet"/>
      </w:pPr>
      <w:r w:rsidRPr="002A74A0">
        <w:t>explain when it is necessary to call service personnel to correct a machine problem</w:t>
      </w:r>
    </w:p>
    <w:p w:rsidR="00000000" w:rsidRPr="002A74A0" w:rsidP="002A74A0">
      <w:pPr>
        <w:pStyle w:val="ListBullet"/>
      </w:pPr>
      <w:r w:rsidRPr="002A74A0">
        <w:t>outline enterprise pro</w:t>
      </w:r>
      <w:r w:rsidRPr="002A74A0">
        <w:t>cedures to report any machine operating problems</w:t>
      </w:r>
    </w:p>
    <w:p w:rsidR="00000000" w:rsidRPr="002A74A0" w:rsidP="002A74A0">
      <w:pPr>
        <w:pStyle w:val="ListBullet"/>
      </w:pPr>
      <w:r w:rsidRPr="002A74A0">
        <w:t>describe the result if correct shutdown procedures are not followed, and correct shutdown procedures to be followed with fellow workers</w:t>
      </w:r>
    </w:p>
    <w:p w:rsidR="00000000" w:rsidRPr="002A74A0" w:rsidP="002A74A0">
      <w:pPr>
        <w:pStyle w:val="ListBullet"/>
      </w:pPr>
      <w:r w:rsidRPr="002A74A0">
        <w:t>explain advantages of proper labelling and storage of excess inks and m</w:t>
      </w:r>
      <w:r w:rsidRPr="002A74A0">
        <w:t>aterials</w:t>
      </w:r>
    </w:p>
    <w:p w:rsidR="00000000" w:rsidRPr="002A74A0" w:rsidP="002A74A0">
      <w:pPr>
        <w:pStyle w:val="ListBullet"/>
      </w:pPr>
      <w:r w:rsidRPr="002A74A0">
        <w:t>explain importance of clearly labelling printed product prior to removal from the press room</w:t>
      </w:r>
    </w:p>
    <w:p w:rsidR="00000000" w:rsidRPr="002A74A0" w:rsidP="002A74A0">
      <w:pPr>
        <w:pStyle w:val="ListBullet"/>
      </w:pPr>
      <w:r w:rsidRPr="002A74A0">
        <w:t>explain WHS requirements for handling ink and cleaning printing cylinders</w:t>
      </w:r>
    </w:p>
    <w:p w:rsidR="00000000" w:rsidRPr="002A74A0" w:rsidP="002A74A0">
      <w:pPr>
        <w:pStyle w:val="ListBullet"/>
      </w:pPr>
      <w:r w:rsidRPr="002A74A0">
        <w:t>explain cleaning and washing techniques for the printing unit prior to the next print run and procedures for storing plates so as to minimise damage</w:t>
      </w:r>
    </w:p>
    <w:p w:rsidR="00000000" w:rsidRPr="002A74A0" w:rsidP="002A74A0">
      <w:pPr>
        <w:pStyle w:val="ListBullet"/>
      </w:pPr>
      <w:r w:rsidRPr="002A74A0">
        <w:t>outline WHS precautions for cleaning the feed, transportation, delivery and in-line sections of the machine</w:t>
      </w:r>
      <w:r w:rsidRPr="002A74A0">
        <w:t xml:space="preserve"> </w:t>
      </w:r>
    </w:p>
    <w:p w:rsidR="00000000" w:rsidRPr="002A74A0" w:rsidP="002A74A0">
      <w:pPr>
        <w:pStyle w:val="ListBullet"/>
      </w:pPr>
      <w:r w:rsidRPr="002A74A0">
        <w:t>explain importance of maintaining a clean substrate handling section of the machine</w:t>
      </w:r>
    </w:p>
    <w:p w:rsidR="00000000" w:rsidRPr="002A74A0" w:rsidP="002A74A0">
      <w:pPr>
        <w:pStyle w:val="ListBullet"/>
      </w:pPr>
      <w:r w:rsidRPr="002A74A0">
        <w:t>explain importance of completing records used in final analysis of the job, and benefits for future jobs</w:t>
      </w:r>
    </w:p>
    <w:p w:rsidR="00000000" w:rsidRPr="002A74A0" w:rsidP="002A74A0">
      <w:pPr>
        <w:pStyle w:val="ListBullet"/>
      </w:pPr>
      <w:r w:rsidRPr="002A74A0">
        <w:t>identify machine manuals, safety and other documentation relevant</w:t>
      </w:r>
      <w:r w:rsidRPr="002A74A0">
        <w:t xml:space="preserve"> to the production of complex relief printed products and other sources of relevant information.</w:t>
      </w:r>
    </w:p>
    <w:p w:rsidR="00000000" w:rsidRPr="002A74A0" w:rsidP="002A74A0">
      <w:pPr>
        <w:pStyle w:val="AllowPageBreak"/>
      </w:pPr>
    </w:p>
    <w:p w:rsidR="00000000" w:rsidRPr="002A74A0" w:rsidP="002A74A0">
      <w:pPr>
        <w:pStyle w:val="Heading1"/>
      </w:pPr>
      <w:bookmarkStart w:id="4" w:name="O_688441"/>
      <w:bookmarkEnd w:id="4"/>
      <w:r w:rsidRPr="002A74A0">
        <w:t>Assessment Conditions</w:t>
      </w:r>
    </w:p>
    <w:p w:rsidR="00000000" w:rsidRPr="002A74A0" w:rsidP="00B67D93">
      <w:pPr>
        <w:pStyle w:val="BodyText"/>
      </w:pPr>
      <w:r w:rsidRPr="002A74A0">
        <w:t>Gather evidence to demonstrate consistent performance in conditions that are safe and replicate the workplace. Noise lev</w:t>
      </w:r>
      <w:r w:rsidRPr="002A74A0">
        <w:t>els, production flow, interruptions and time variances must be typical of those experienced in the printing field of work and include access to special purpose tools, equipment and materials.</w:t>
      </w:r>
    </w:p>
    <w:p w:rsidR="00000000" w:rsidRPr="002A74A0" w:rsidP="00B67D93">
      <w:pPr>
        <w:pStyle w:val="BodyText"/>
      </w:pPr>
      <w:r w:rsidRPr="002A74A0">
        <w:t>Assessors must satisfy NVR/AQTF assessor requirements.</w:t>
      </w:r>
    </w:p>
    <w:p w:rsidR="00000000" w:rsidRPr="002A74A0" w:rsidP="002A74A0">
      <w:pPr>
        <w:pStyle w:val="Heading1"/>
      </w:pPr>
      <w:bookmarkStart w:id="5" w:name="O_688444"/>
      <w:bookmarkEnd w:id="5"/>
      <w:r w:rsidRPr="002A74A0">
        <w:t>Links</w:t>
      </w:r>
    </w:p>
    <w:p w:rsidR="00000000" w:rsidRPr="002A74A0" w:rsidP="00B67D93">
      <w:pPr>
        <w:pStyle w:val="BodyText"/>
      </w:pPr>
      <w:r w:rsidRPr="002A74A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D7B7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A74A0" w:rsidP="002A74A0"/>
    <w:sectPr w:rsidSect="002A74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A0" w:rsidRPr="00B67D93" w:rsidP="00B67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93" w:rsidP="002A7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7D93" w:rsidP="002A7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7D93" w:rsidP="002A74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4A0" w:rsidRPr="00B67D93" w:rsidP="00B67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93" w:rsidRPr="002D2AF8" w:rsidP="002A7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ICPPRN394 Produce complex relief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67D93" w:rsidP="002A74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323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52C7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4A0"/>
  </w:style>
  <w:style w:type="character" w:customStyle="1" w:styleId="Heading1Char">
    <w:name w:val="Heading 1 Char"/>
    <w:basedOn w:val="DefaultParagraphFont"/>
    <w:link w:val="Heading1"/>
    <w:rsid w:val="002A7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4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4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4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4A0"/>
    <w:rPr>
      <w:b/>
      <w:spacing w:val="0"/>
    </w:rPr>
  </w:style>
  <w:style w:type="paragraph" w:customStyle="1" w:styleId="SuperHeading">
    <w:name w:val="SuperHeading"/>
    <w:basedOn w:val="Normal"/>
    <w:rsid w:val="002A74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4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4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4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4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4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4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4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4A0"/>
    <w:rPr>
      <w:i/>
    </w:rPr>
  </w:style>
  <w:style w:type="paragraph" w:styleId="Caption">
    <w:name w:val="caption"/>
    <w:basedOn w:val="BodyText"/>
    <w:next w:val="Normal"/>
    <w:qFormat/>
    <w:rsid w:val="002A7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4A0"/>
  </w:style>
  <w:style w:type="paragraph" w:styleId="TableofFigures">
    <w:name w:val="table of figures"/>
    <w:basedOn w:val="Normal"/>
    <w:next w:val="Normal"/>
    <w:semiHidden/>
    <w:rsid w:val="002A7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4A0"/>
    <w:pPr>
      <w:numPr>
        <w:numId w:val="10"/>
      </w:numPr>
    </w:pPr>
  </w:style>
  <w:style w:type="character" w:customStyle="1" w:styleId="WingdingSymbols">
    <w:name w:val="Wingding Symbols"/>
    <w:rsid w:val="002A74A0"/>
    <w:rPr>
      <w:rFonts w:ascii="Wingdings" w:hAnsi="Wingdings"/>
    </w:rPr>
  </w:style>
  <w:style w:type="paragraph" w:customStyle="1" w:styleId="TableHeading">
    <w:name w:val="Table Heading"/>
    <w:basedOn w:val="HeadingBase"/>
    <w:rsid w:val="002A7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4A0"/>
    <w:rPr>
      <w:color w:val="0033CC"/>
      <w:u w:val="none"/>
    </w:rPr>
  </w:style>
  <w:style w:type="paragraph" w:customStyle="1" w:styleId="BodyTextRight">
    <w:name w:val="Body Text Right"/>
    <w:basedOn w:val="BodyText"/>
    <w:rsid w:val="002A7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4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4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4A0"/>
    <w:rPr>
      <w:sz w:val="32"/>
    </w:rPr>
  </w:style>
  <w:style w:type="paragraph" w:customStyle="1" w:styleId="HeadingProcedure">
    <w:name w:val="Heading Procedure"/>
    <w:basedOn w:val="HeadingBase"/>
    <w:next w:val="Normal"/>
    <w:rsid w:val="002A7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4A0"/>
    <w:pPr>
      <w:spacing w:before="60" w:after="60"/>
    </w:pPr>
  </w:style>
  <w:style w:type="paragraph" w:styleId="ListContinue">
    <w:name w:val="List Continue"/>
    <w:basedOn w:val="List"/>
    <w:rsid w:val="002A74A0"/>
    <w:pPr>
      <w:ind w:firstLine="0"/>
    </w:pPr>
  </w:style>
  <w:style w:type="paragraph" w:customStyle="1" w:styleId="ListNote">
    <w:name w:val="List Note"/>
    <w:basedOn w:val="List"/>
    <w:rsid w:val="002A7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4A0"/>
    <w:rPr>
      <w:rFonts w:ascii="Courier New" w:hAnsi="Courier New"/>
    </w:rPr>
  </w:style>
  <w:style w:type="paragraph" w:customStyle="1" w:styleId="NoteBullet">
    <w:name w:val="Note Bullet"/>
    <w:basedOn w:val="Note"/>
    <w:rsid w:val="002A7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4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7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4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4A0"/>
    <w:rPr>
      <w:b/>
      <w:smallCaps/>
    </w:rPr>
  </w:style>
  <w:style w:type="paragraph" w:customStyle="1" w:styleId="TableListNumber">
    <w:name w:val="Table List Number"/>
    <w:basedOn w:val="ListNumber"/>
    <w:rsid w:val="002A7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4A0"/>
    <w:pPr>
      <w:numPr>
        <w:numId w:val="8"/>
      </w:numPr>
    </w:pPr>
  </w:style>
  <w:style w:type="paragraph" w:customStyle="1" w:styleId="ListAlpha2">
    <w:name w:val="List Alpha 2"/>
    <w:basedOn w:val="List2"/>
    <w:rsid w:val="002A74A0"/>
    <w:pPr>
      <w:numPr>
        <w:numId w:val="7"/>
      </w:numPr>
    </w:pPr>
  </w:style>
  <w:style w:type="paragraph" w:styleId="List2">
    <w:name w:val="List 2"/>
    <w:basedOn w:val="BodyText"/>
    <w:rsid w:val="002A7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4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4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4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74A0"/>
    <w:pPr>
      <w:numPr>
        <w:numId w:val="3"/>
      </w:numPr>
    </w:pPr>
  </w:style>
  <w:style w:type="paragraph" w:styleId="ListContinue2">
    <w:name w:val="List Continue 2"/>
    <w:basedOn w:val="List2"/>
    <w:rsid w:val="002A74A0"/>
    <w:pPr>
      <w:ind w:firstLine="0"/>
    </w:pPr>
  </w:style>
  <w:style w:type="paragraph" w:styleId="ListContinue3">
    <w:name w:val="List Continue 3"/>
    <w:basedOn w:val="List3"/>
    <w:rsid w:val="002A74A0"/>
    <w:pPr>
      <w:ind w:left="1021" w:firstLine="0"/>
    </w:pPr>
  </w:style>
  <w:style w:type="paragraph" w:styleId="ListContinue4">
    <w:name w:val="List Continue 4"/>
    <w:basedOn w:val="List4"/>
    <w:rsid w:val="002A74A0"/>
    <w:pPr>
      <w:ind w:firstLine="0"/>
    </w:pPr>
  </w:style>
  <w:style w:type="paragraph" w:styleId="ListContinue5">
    <w:name w:val="List Continue 5"/>
    <w:basedOn w:val="List5"/>
    <w:rsid w:val="002A74A0"/>
    <w:pPr>
      <w:ind w:firstLine="0"/>
    </w:pPr>
  </w:style>
  <w:style w:type="paragraph" w:styleId="ListNumber3">
    <w:name w:val="List Number 3"/>
    <w:basedOn w:val="List3"/>
    <w:rsid w:val="002A74A0"/>
    <w:pPr>
      <w:numPr>
        <w:numId w:val="4"/>
      </w:numPr>
    </w:pPr>
  </w:style>
  <w:style w:type="paragraph" w:styleId="ListNumber4">
    <w:name w:val="List Number 4"/>
    <w:basedOn w:val="List4"/>
    <w:rsid w:val="002A74A0"/>
    <w:pPr>
      <w:numPr>
        <w:numId w:val="5"/>
      </w:numPr>
    </w:pPr>
  </w:style>
  <w:style w:type="paragraph" w:styleId="ListNumber5">
    <w:name w:val="List Number 5"/>
    <w:basedOn w:val="List5"/>
    <w:rsid w:val="002A74A0"/>
    <w:pPr>
      <w:numPr>
        <w:numId w:val="6"/>
      </w:numPr>
    </w:pPr>
  </w:style>
  <w:style w:type="paragraph" w:styleId="BlockText">
    <w:name w:val="Block Text"/>
    <w:basedOn w:val="Normal"/>
    <w:rsid w:val="002A7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4A0"/>
    <w:rPr>
      <w:sz w:val="16"/>
      <w:vertAlign w:val="superscript"/>
    </w:rPr>
  </w:style>
  <w:style w:type="character" w:customStyle="1" w:styleId="Symbols">
    <w:name w:val="Symbols"/>
    <w:basedOn w:val="DefaultParagraphFont"/>
    <w:rsid w:val="002A74A0"/>
    <w:rPr>
      <w:rFonts w:ascii="Symbol" w:hAnsi="Symbol"/>
    </w:rPr>
  </w:style>
  <w:style w:type="character" w:customStyle="1" w:styleId="MenuOptions">
    <w:name w:val="Menu Options"/>
    <w:basedOn w:val="DefaultParagraphFont"/>
    <w:rsid w:val="002A7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4A0"/>
    <w:rPr>
      <w:b/>
    </w:rPr>
  </w:style>
  <w:style w:type="character" w:customStyle="1" w:styleId="Underlined">
    <w:name w:val="Underlined"/>
    <w:basedOn w:val="DefaultParagraphFont"/>
    <w:rsid w:val="002A74A0"/>
    <w:rPr>
      <w:u w:val="single"/>
    </w:rPr>
  </w:style>
  <w:style w:type="paragraph" w:customStyle="1" w:styleId="TableBodyTextRight">
    <w:name w:val="Table Body Text Right"/>
    <w:basedOn w:val="TableBodyText"/>
    <w:rsid w:val="002A7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4A0"/>
    <w:rPr>
      <w:sz w:val="18"/>
    </w:rPr>
  </w:style>
  <w:style w:type="paragraph" w:customStyle="1" w:styleId="BodySmallRight">
    <w:name w:val="Body Small Right"/>
    <w:basedOn w:val="BodyTextRight"/>
    <w:rsid w:val="002A74A0"/>
    <w:rPr>
      <w:sz w:val="18"/>
      <w:szCs w:val="18"/>
    </w:rPr>
  </w:style>
  <w:style w:type="paragraph" w:customStyle="1" w:styleId="MarginEdition">
    <w:name w:val="Margin Edition"/>
    <w:basedOn w:val="MarginNote"/>
    <w:rsid w:val="002A7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4A0"/>
    <w:rPr>
      <w:sz w:val="2"/>
      <w:szCs w:val="2"/>
    </w:rPr>
  </w:style>
  <w:style w:type="character" w:customStyle="1" w:styleId="Small">
    <w:name w:val="Small"/>
    <w:basedOn w:val="DefaultParagraphFont"/>
    <w:rsid w:val="002A74A0"/>
    <w:rPr>
      <w:sz w:val="16"/>
    </w:rPr>
  </w:style>
  <w:style w:type="paragraph" w:customStyle="1" w:styleId="WideTable">
    <w:name w:val="Wide Table"/>
    <w:basedOn w:val="Normal"/>
    <w:rsid w:val="002A7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4A0"/>
  </w:style>
  <w:style w:type="paragraph" w:styleId="Quote">
    <w:name w:val="Quote"/>
    <w:basedOn w:val="Heading1"/>
    <w:link w:val="QuoteChar"/>
    <w:qFormat/>
    <w:rsid w:val="002A7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4A0"/>
    <w:pPr>
      <w:pageBreakBefore/>
    </w:pPr>
  </w:style>
  <w:style w:type="paragraph" w:customStyle="1" w:styleId="Border">
    <w:name w:val="Border"/>
    <w:basedOn w:val="Normal"/>
    <w:qFormat/>
    <w:rsid w:val="002A7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4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4A0"/>
    <w:rPr>
      <w:u w:val="single"/>
    </w:rPr>
  </w:style>
  <w:style w:type="character" w:customStyle="1" w:styleId="BoldandItalics">
    <w:name w:val="Bold and Italics"/>
    <w:qFormat/>
    <w:rsid w:val="002A74A0"/>
    <w:rPr>
      <w:b/>
      <w:i/>
      <w:u w:val="none"/>
    </w:rPr>
  </w:style>
  <w:style w:type="paragraph" w:styleId="BalloonText">
    <w:name w:val="Balloon Text"/>
    <w:basedOn w:val="Normal"/>
    <w:link w:val="BalloonTextChar"/>
    <w:rsid w:val="002A7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4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4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4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4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4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4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7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948</Words>
  <Characters>5446</Characters>
  <Application>Microsoft Office Word</Application>
  <DocSecurity>0</DocSecurity>
  <Lines>115</Lines>
  <Paragraphs>78</Paragraphs>
  <ScaleCrop>false</ScaleCrop>
  <Company>Author-it Software Corporation Ltd.</Company>
  <LinksUpToDate>false</LinksUpToDate>
  <CharactersWithSpaces>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ICPPRN394 Produce complex relief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2018-12-10T06:33:00Z</dcterms:created>
  <dcterms:modified xsi:type="dcterms:W3CDTF">2018-12-10T06:33:00Z</dcterms:modified>
</cp:coreProperties>
</file>