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B71" w:rsidP="00F53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ICPPRN3900 Generate proofs for digital production</w:t>
      </w:r>
      <w:r>
        <w:fldChar w:fldCharType="end"/>
      </w:r>
    </w:p>
    <w:p w:rsidR="00F53B71" w:rsidP="00F53B71">
      <w:pPr>
        <w:pStyle w:val="Version"/>
        <w:sectPr w:rsidSect="00C64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12D" w:rsidP="00C6412D">
      <w:pPr>
        <w:pStyle w:val="SuperHeading"/>
      </w:pPr>
      <w:r w:rsidRPr="00C6412D">
        <w:t>Assessment Re</w:t>
      </w:r>
      <w:r w:rsidRPr="00C6412D">
        <w:t>quirements for ICPPRN3900 Generate proofs for digital production</w:t>
      </w:r>
    </w:p>
    <w:p w:rsidR="00000000" w:rsidRPr="00C6412D" w:rsidP="00C6412D">
      <w:pPr>
        <w:pStyle w:val="Heading1"/>
      </w:pPr>
      <w:bookmarkStart w:id="1" w:name="O_1072250"/>
      <w:bookmarkEnd w:id="1"/>
      <w:r w:rsidRPr="00C641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64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12D" w:rsidP="00C6412D">
            <w:pPr>
              <w:pStyle w:val="BodyText"/>
            </w:pPr>
            <w:r w:rsidRPr="00C641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12D">
            <w:pPr>
              <w:pStyle w:val="BodyText"/>
              <w:rPr>
                <w:lang w:val="en-NZ"/>
              </w:rPr>
            </w:pPr>
            <w:r w:rsidRPr="00C6412D">
              <w:rPr>
                <w:rStyle w:val="SpecialBold"/>
              </w:rPr>
              <w:t>Comments</w:t>
            </w:r>
          </w:p>
        </w:tc>
      </w:tr>
      <w:tr w:rsidTr="00C64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12D">
            <w:pPr>
              <w:pStyle w:val="BodyText"/>
              <w:rPr>
                <w:lang w:val="en-NZ"/>
              </w:rPr>
            </w:pPr>
            <w:r w:rsidRPr="00C641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12D" w:rsidP="00C6412D">
            <w:pPr>
              <w:pStyle w:val="BodyText"/>
            </w:pPr>
            <w:r w:rsidRPr="00C6412D">
              <w:t>This version first released with ICP Printing and Graphic Arts Training Package Version 4.0.</w:t>
            </w:r>
          </w:p>
        </w:tc>
      </w:tr>
    </w:tbl>
    <w:p w:rsidR="00000000" w:rsidRPr="00C6412D" w:rsidP="00C6412D">
      <w:pPr>
        <w:pStyle w:val="BodyText"/>
      </w:pPr>
    </w:p>
    <w:p w:rsidR="00000000" w:rsidRPr="00C6412D" w:rsidP="00C6412D">
      <w:pPr>
        <w:pStyle w:val="AllowPageBreak"/>
      </w:pPr>
    </w:p>
    <w:p w:rsidR="00000000" w:rsidRPr="00C6412D" w:rsidP="00C6412D">
      <w:pPr>
        <w:pStyle w:val="Heading1"/>
      </w:pPr>
      <w:bookmarkStart w:id="2" w:name="O_1072253"/>
      <w:bookmarkEnd w:id="2"/>
      <w:r w:rsidRPr="00C6412D">
        <w:t>Performance Evidence</w:t>
      </w:r>
    </w:p>
    <w:p w:rsidR="00000000" w:rsidRPr="00C6412D" w:rsidP="00F53B71">
      <w:pPr>
        <w:pStyle w:val="BodyText"/>
      </w:pPr>
      <w:r w:rsidRPr="00C6412D">
        <w:t>The candidate must demonstrate the ability to complete the tasks outlined in the elements, performance criteria and foundation skills of this unit, including evidence of the ability to:</w:t>
      </w:r>
    </w:p>
    <w:p w:rsidR="00000000" w:rsidRPr="00C6412D" w:rsidP="00C6412D">
      <w:pPr>
        <w:pStyle w:val="ListBullet"/>
      </w:pPr>
      <w:r w:rsidRPr="00C6412D">
        <w:t>produce proof and gain client approval on at lea</w:t>
      </w:r>
      <w:r w:rsidRPr="00C6412D">
        <w:t>st two occasions for two different jobs.</w:t>
      </w:r>
    </w:p>
    <w:p w:rsidR="00000000" w:rsidRPr="00C6412D" w:rsidP="00F53B71">
      <w:pPr>
        <w:pStyle w:val="BodyText"/>
      </w:pPr>
      <w:r w:rsidRPr="00C6412D">
        <w:t>In the course of the above the candidate must:</w:t>
      </w:r>
    </w:p>
    <w:p w:rsidR="00000000" w:rsidRPr="00C6412D" w:rsidP="00C6412D">
      <w:pPr>
        <w:pStyle w:val="ListBullet"/>
      </w:pPr>
      <w:r w:rsidRPr="00C6412D">
        <w:t>calibrate digital device according to colour output requirements.</w:t>
      </w:r>
    </w:p>
    <w:p w:rsidR="00000000" w:rsidRPr="00C6412D" w:rsidP="00C6412D">
      <w:pPr>
        <w:pStyle w:val="AllowPageBreak"/>
      </w:pPr>
    </w:p>
    <w:p w:rsidR="00000000" w:rsidRPr="00C6412D" w:rsidP="00C6412D">
      <w:pPr>
        <w:pStyle w:val="Heading1"/>
      </w:pPr>
      <w:bookmarkStart w:id="3" w:name="O_1072252"/>
      <w:bookmarkEnd w:id="3"/>
      <w:r w:rsidRPr="00C6412D">
        <w:t>Knowledge Evidence</w:t>
      </w:r>
    </w:p>
    <w:p w:rsidR="00000000" w:rsidRPr="00C6412D" w:rsidP="00F53B71">
      <w:pPr>
        <w:pStyle w:val="BodyText"/>
      </w:pPr>
      <w:r w:rsidRPr="00C6412D">
        <w:t>The candidate must be able to demonstrate knowledge to complete the tasks outlined in the elements, performance criteria and foundation skills of this unit, including knowledge of:</w:t>
      </w:r>
    </w:p>
    <w:p w:rsidR="00000000" w:rsidRPr="00C6412D" w:rsidP="00C6412D">
      <w:pPr>
        <w:pStyle w:val="ListBullet"/>
      </w:pPr>
      <w:r w:rsidRPr="00C6412D">
        <w:t>work health and safety (WHS) risks and requirements related to digital pro</w:t>
      </w:r>
      <w:r w:rsidRPr="00C6412D">
        <w:t>ofing for digital production</w:t>
      </w:r>
    </w:p>
    <w:p w:rsidR="00000000" w:rsidRPr="00C6412D" w:rsidP="00C6412D">
      <w:pPr>
        <w:pStyle w:val="ListBullet"/>
      </w:pPr>
      <w:r w:rsidRPr="00C6412D">
        <w:t>colour theory, including additive and subtractive colours, red, green, blue (RGB) and cyan, magenta, yellow, black (CMYK)</w:t>
      </w:r>
    </w:p>
    <w:p w:rsidR="00000000" w:rsidRPr="00C6412D" w:rsidP="00C6412D">
      <w:pPr>
        <w:pStyle w:val="ListBullet"/>
      </w:pPr>
      <w:r w:rsidRPr="00C6412D">
        <w:t>varying colour gamuts between colour modes</w:t>
      </w:r>
    </w:p>
    <w:p w:rsidR="00000000" w:rsidRPr="00C6412D" w:rsidP="00C6412D">
      <w:pPr>
        <w:pStyle w:val="ListBullet"/>
      </w:pPr>
      <w:r w:rsidRPr="00C6412D">
        <w:t>colour management workflow set-up procedures</w:t>
      </w:r>
    </w:p>
    <w:p w:rsidR="00000000" w:rsidRPr="00C6412D" w:rsidP="00C6412D">
      <w:pPr>
        <w:pStyle w:val="ListBullet"/>
      </w:pPr>
      <w:r w:rsidRPr="00C6412D">
        <w:t>use of output pro</w:t>
      </w:r>
      <w:r w:rsidRPr="00C6412D">
        <w:t>files in relation to simulation</w:t>
      </w:r>
    </w:p>
    <w:p w:rsidR="00000000" w:rsidRPr="00C6412D" w:rsidP="00C6412D">
      <w:pPr>
        <w:pStyle w:val="ListBullet"/>
      </w:pPr>
      <w:r w:rsidRPr="00C6412D">
        <w:t>effect regular calibration has on ensuring consistent colour output</w:t>
      </w:r>
    </w:p>
    <w:p w:rsidR="00000000" w:rsidRPr="00C6412D" w:rsidP="00C6412D">
      <w:pPr>
        <w:pStyle w:val="ListBullet"/>
      </w:pPr>
      <w:r w:rsidRPr="00C6412D">
        <w:t>quality control systems used in proofing</w:t>
      </w:r>
    </w:p>
    <w:p w:rsidR="00000000" w:rsidRPr="00C6412D" w:rsidP="00C6412D">
      <w:pPr>
        <w:pStyle w:val="ListBullet"/>
      </w:pPr>
      <w:r w:rsidRPr="00C6412D">
        <w:t>techniques used to control quality</w:t>
      </w:r>
    </w:p>
    <w:p w:rsidR="00000000" w:rsidRPr="00C6412D" w:rsidP="00C6412D">
      <w:pPr>
        <w:pStyle w:val="ListBullet"/>
      </w:pPr>
      <w:r w:rsidRPr="00C6412D">
        <w:t>procedures for using standard viewing conditions to assess colour output</w:t>
      </w:r>
    </w:p>
    <w:p w:rsidR="00000000" w:rsidRPr="00C6412D" w:rsidP="00C6412D">
      <w:pPr>
        <w:pStyle w:val="ListBullet"/>
      </w:pPr>
      <w:r w:rsidRPr="00C6412D">
        <w:t xml:space="preserve">colour </w:t>
      </w:r>
      <w:r w:rsidRPr="00C6412D">
        <w:t>evaluation charts and their uses</w:t>
      </w:r>
    </w:p>
    <w:p w:rsidR="00000000" w:rsidRPr="00C6412D" w:rsidP="00C6412D">
      <w:pPr>
        <w:pStyle w:val="ListBullet"/>
      </w:pPr>
      <w:r w:rsidRPr="00C6412D">
        <w:t>criteria for evaluating a colour proof</w:t>
      </w:r>
    </w:p>
    <w:p w:rsidR="00000000" w:rsidRPr="00C6412D" w:rsidP="00C6412D">
      <w:pPr>
        <w:pStyle w:val="ListBullet"/>
      </w:pPr>
      <w:r w:rsidRPr="00C6412D">
        <w:t>differences between preliminary proofs and a contract proof</w:t>
      </w:r>
    </w:p>
    <w:p w:rsidR="00000000" w:rsidRPr="00C6412D" w:rsidP="00C6412D">
      <w:pPr>
        <w:pStyle w:val="ListBullet"/>
      </w:pPr>
      <w:r w:rsidRPr="00C6412D">
        <w:t>types of substrates used in proofing</w:t>
      </w:r>
    </w:p>
    <w:p w:rsidR="00000000" w:rsidRPr="00C6412D" w:rsidP="00C6412D">
      <w:pPr>
        <w:pStyle w:val="ListBullet"/>
      </w:pPr>
      <w:r w:rsidRPr="00C6412D">
        <w:t>inks, toners and coatings used in digital printing</w:t>
      </w:r>
    </w:p>
    <w:p w:rsidR="00000000" w:rsidRPr="00C6412D" w:rsidP="00C6412D">
      <w:pPr>
        <w:pStyle w:val="ListBullet"/>
      </w:pPr>
      <w:r w:rsidRPr="00C6412D">
        <w:t>materials handling and storage proce</w:t>
      </w:r>
      <w:r w:rsidRPr="00C6412D">
        <w:t>dures that ensure quality</w:t>
      </w:r>
    </w:p>
    <w:p w:rsidR="00000000" w:rsidRPr="00C6412D" w:rsidP="00C6412D">
      <w:pPr>
        <w:pStyle w:val="ListBullet"/>
      </w:pPr>
      <w:r w:rsidRPr="00C6412D">
        <w:t>types of finishing techniques used in digital production</w:t>
      </w:r>
    </w:p>
    <w:p w:rsidR="00000000" w:rsidRPr="00C6412D" w:rsidP="00C6412D">
      <w:pPr>
        <w:pStyle w:val="ListBullet"/>
      </w:pPr>
      <w:r w:rsidRPr="00C6412D">
        <w:t>enterprise labelling standards, and the information that should be included</w:t>
      </w:r>
    </w:p>
    <w:p w:rsidR="00000000" w:rsidRPr="00C6412D" w:rsidP="00C6412D">
      <w:pPr>
        <w:pStyle w:val="ListBullet"/>
      </w:pPr>
      <w:r w:rsidRPr="00C6412D">
        <w:t>communication protocols used with clients to obtain feedback</w:t>
      </w:r>
    </w:p>
    <w:p w:rsidR="00000000" w:rsidRPr="00C6412D" w:rsidP="00C6412D">
      <w:pPr>
        <w:pStyle w:val="ListBullet"/>
      </w:pPr>
      <w:r w:rsidRPr="00C6412D">
        <w:t>manufacturer manuals, enterprise procedures and work health and safety documentation, including their location and purpose.</w:t>
      </w:r>
    </w:p>
    <w:p w:rsidR="00000000" w:rsidRPr="00C6412D" w:rsidP="00C6412D">
      <w:pPr>
        <w:pStyle w:val="AllowPageBreak"/>
      </w:pPr>
    </w:p>
    <w:p w:rsidR="00000000" w:rsidRPr="00C6412D" w:rsidP="00C6412D">
      <w:pPr>
        <w:pStyle w:val="Heading1"/>
      </w:pPr>
      <w:bookmarkStart w:id="4" w:name="O_1072251"/>
      <w:bookmarkEnd w:id="4"/>
      <w:r w:rsidRPr="00C6412D">
        <w:t>Assessment Conditions</w:t>
      </w:r>
    </w:p>
    <w:p w:rsidR="00000000" w:rsidRPr="00C6412D" w:rsidP="00F53B71">
      <w:pPr>
        <w:pStyle w:val="BodyText"/>
      </w:pPr>
      <w:r w:rsidRPr="00C6412D">
        <w:t xml:space="preserve">Skills in this unit must be demonstrated in a workplace or simulated environment where the </w:t>
      </w:r>
      <w:r w:rsidRPr="00C6412D">
        <w:t xml:space="preserve">conditions are typical of those in a working environment in this industry. Noise levels, production flow, interruptions and time variances must be typical of those experienced in the printing field of work and include access to: </w:t>
      </w:r>
    </w:p>
    <w:p w:rsidR="00000000" w:rsidRPr="00C6412D" w:rsidP="00C6412D">
      <w:pPr>
        <w:pStyle w:val="ListBullet"/>
      </w:pPr>
      <w:r w:rsidRPr="00C6412D">
        <w:t>special purpose tools, eq</w:t>
      </w:r>
      <w:r w:rsidRPr="00C6412D">
        <w:t>uipment and materials</w:t>
      </w:r>
    </w:p>
    <w:p w:rsidR="00000000" w:rsidRPr="00C6412D" w:rsidP="00C6412D">
      <w:pPr>
        <w:pStyle w:val="ListBullet"/>
      </w:pPr>
      <w:r w:rsidRPr="00C6412D">
        <w:t>colour output devices</w:t>
      </w:r>
    </w:p>
    <w:p w:rsidR="00000000" w:rsidRPr="00C6412D" w:rsidP="00C6412D">
      <w:pPr>
        <w:pStyle w:val="ListBullet"/>
      </w:pPr>
      <w:r w:rsidRPr="00C6412D">
        <w:t>image processors with colour management features.</w:t>
      </w:r>
    </w:p>
    <w:p w:rsidR="00000000" w:rsidRPr="00C6412D" w:rsidP="00F53B71">
      <w:pPr>
        <w:pStyle w:val="BodyText"/>
      </w:pPr>
      <w:r w:rsidRPr="00C6412D">
        <w:t>Assessors of this unit must satisfy the requirements for assessors in applicable vocational education and training legislation, frameworks and/or standards.</w:t>
      </w:r>
    </w:p>
    <w:p w:rsidR="00000000" w:rsidRPr="00C6412D" w:rsidP="00C6412D">
      <w:pPr>
        <w:pStyle w:val="Heading1"/>
      </w:pPr>
      <w:bookmarkStart w:id="5" w:name="O_1072249"/>
      <w:bookmarkEnd w:id="5"/>
      <w:r w:rsidRPr="00C6412D">
        <w:t>Links</w:t>
      </w:r>
    </w:p>
    <w:p w:rsidR="00000000" w:rsidRPr="00C6412D" w:rsidP="00F53B71">
      <w:pPr>
        <w:pStyle w:val="BodyText"/>
      </w:pPr>
      <w:r w:rsidRPr="00C641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02FC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6412D" w:rsidP="00C6412D"/>
    <w:sectPr w:rsidSect="00C641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D" w:rsidRPr="00F53B71" w:rsidP="00F53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71" w:rsidP="00C64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B71" w:rsidP="00C64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3B71" w:rsidP="00C64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12D" w:rsidRPr="00F53B71" w:rsidP="00F53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71" w:rsidRPr="002D2AF8" w:rsidP="00C64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ICPPRN3900 Generate proofs for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53B71" w:rsidP="00C64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5CE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E83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12D"/>
  </w:style>
  <w:style w:type="character" w:customStyle="1" w:styleId="Heading1Char">
    <w:name w:val="Heading 1 Char"/>
    <w:basedOn w:val="DefaultParagraphFont"/>
    <w:link w:val="Heading1"/>
    <w:rsid w:val="00C64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1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12D"/>
    <w:rPr>
      <w:b/>
      <w:spacing w:val="0"/>
    </w:rPr>
  </w:style>
  <w:style w:type="paragraph" w:customStyle="1" w:styleId="SuperHeading">
    <w:name w:val="SuperHeading"/>
    <w:basedOn w:val="Normal"/>
    <w:rsid w:val="00C64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1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12D"/>
    <w:rPr>
      <w:i/>
    </w:rPr>
  </w:style>
  <w:style w:type="paragraph" w:styleId="Caption">
    <w:name w:val="caption"/>
    <w:basedOn w:val="BodyText"/>
    <w:next w:val="Normal"/>
    <w:qFormat/>
    <w:rsid w:val="00C64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12D"/>
  </w:style>
  <w:style w:type="paragraph" w:styleId="TableofFigures">
    <w:name w:val="table of figures"/>
    <w:basedOn w:val="Normal"/>
    <w:next w:val="Normal"/>
    <w:semiHidden/>
    <w:rsid w:val="00C64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1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12D"/>
    <w:rPr>
      <w:rFonts w:ascii="Wingdings" w:hAnsi="Wingdings"/>
    </w:rPr>
  </w:style>
  <w:style w:type="paragraph" w:customStyle="1" w:styleId="TableHeading">
    <w:name w:val="Table Heading"/>
    <w:basedOn w:val="HeadingBase"/>
    <w:rsid w:val="00C64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12D"/>
    <w:rPr>
      <w:color w:val="0033CC"/>
      <w:u w:val="none"/>
    </w:rPr>
  </w:style>
  <w:style w:type="paragraph" w:customStyle="1" w:styleId="BodyTextRight">
    <w:name w:val="Body Text Right"/>
    <w:basedOn w:val="BodyText"/>
    <w:rsid w:val="00C64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1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12D"/>
    <w:rPr>
      <w:sz w:val="32"/>
    </w:rPr>
  </w:style>
  <w:style w:type="paragraph" w:customStyle="1" w:styleId="HeadingProcedure">
    <w:name w:val="Heading Procedure"/>
    <w:basedOn w:val="HeadingBase"/>
    <w:next w:val="Normal"/>
    <w:rsid w:val="00C64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12D"/>
    <w:pPr>
      <w:spacing w:before="60" w:after="60"/>
    </w:pPr>
  </w:style>
  <w:style w:type="paragraph" w:styleId="ListContinue">
    <w:name w:val="List Continue"/>
    <w:basedOn w:val="List"/>
    <w:rsid w:val="00C6412D"/>
    <w:pPr>
      <w:ind w:firstLine="0"/>
    </w:pPr>
  </w:style>
  <w:style w:type="paragraph" w:customStyle="1" w:styleId="ListNote">
    <w:name w:val="List Note"/>
    <w:basedOn w:val="List"/>
    <w:rsid w:val="00C64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12D"/>
    <w:rPr>
      <w:rFonts w:ascii="Courier New" w:hAnsi="Courier New"/>
    </w:rPr>
  </w:style>
  <w:style w:type="paragraph" w:customStyle="1" w:styleId="NoteBullet">
    <w:name w:val="Note Bullet"/>
    <w:basedOn w:val="Note"/>
    <w:rsid w:val="00C64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1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12D"/>
    <w:rPr>
      <w:b/>
      <w:smallCaps/>
    </w:rPr>
  </w:style>
  <w:style w:type="paragraph" w:customStyle="1" w:styleId="TableListNumber">
    <w:name w:val="Table List Number"/>
    <w:basedOn w:val="ListNumber"/>
    <w:rsid w:val="00C64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12D"/>
    <w:pPr>
      <w:numPr>
        <w:numId w:val="8"/>
      </w:numPr>
    </w:pPr>
  </w:style>
  <w:style w:type="paragraph" w:customStyle="1" w:styleId="ListAlpha2">
    <w:name w:val="List Alpha 2"/>
    <w:basedOn w:val="List2"/>
    <w:rsid w:val="00C6412D"/>
    <w:pPr>
      <w:numPr>
        <w:numId w:val="7"/>
      </w:numPr>
    </w:pPr>
  </w:style>
  <w:style w:type="paragraph" w:styleId="List2">
    <w:name w:val="List 2"/>
    <w:basedOn w:val="BodyText"/>
    <w:rsid w:val="00C64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1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1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12D"/>
    <w:pPr>
      <w:numPr>
        <w:numId w:val="3"/>
      </w:numPr>
    </w:pPr>
  </w:style>
  <w:style w:type="paragraph" w:styleId="ListContinue2">
    <w:name w:val="List Continue 2"/>
    <w:basedOn w:val="List2"/>
    <w:rsid w:val="00C6412D"/>
    <w:pPr>
      <w:ind w:firstLine="0"/>
    </w:pPr>
  </w:style>
  <w:style w:type="paragraph" w:styleId="ListContinue3">
    <w:name w:val="List Continue 3"/>
    <w:basedOn w:val="List3"/>
    <w:rsid w:val="00C6412D"/>
    <w:pPr>
      <w:ind w:left="1021" w:firstLine="0"/>
    </w:pPr>
  </w:style>
  <w:style w:type="paragraph" w:styleId="ListContinue4">
    <w:name w:val="List Continue 4"/>
    <w:basedOn w:val="List4"/>
    <w:rsid w:val="00C6412D"/>
    <w:pPr>
      <w:ind w:firstLine="0"/>
    </w:pPr>
  </w:style>
  <w:style w:type="paragraph" w:styleId="ListContinue5">
    <w:name w:val="List Continue 5"/>
    <w:basedOn w:val="List5"/>
    <w:rsid w:val="00C6412D"/>
    <w:pPr>
      <w:ind w:firstLine="0"/>
    </w:pPr>
  </w:style>
  <w:style w:type="paragraph" w:styleId="ListNumber3">
    <w:name w:val="List Number 3"/>
    <w:basedOn w:val="List3"/>
    <w:rsid w:val="00C6412D"/>
    <w:pPr>
      <w:numPr>
        <w:numId w:val="4"/>
      </w:numPr>
    </w:pPr>
  </w:style>
  <w:style w:type="paragraph" w:styleId="ListNumber4">
    <w:name w:val="List Number 4"/>
    <w:basedOn w:val="List4"/>
    <w:rsid w:val="00C6412D"/>
    <w:pPr>
      <w:numPr>
        <w:numId w:val="5"/>
      </w:numPr>
    </w:pPr>
  </w:style>
  <w:style w:type="paragraph" w:styleId="ListNumber5">
    <w:name w:val="List Number 5"/>
    <w:basedOn w:val="List5"/>
    <w:rsid w:val="00C6412D"/>
    <w:pPr>
      <w:numPr>
        <w:numId w:val="6"/>
      </w:numPr>
    </w:pPr>
  </w:style>
  <w:style w:type="paragraph" w:styleId="BlockText">
    <w:name w:val="Block Text"/>
    <w:basedOn w:val="Normal"/>
    <w:rsid w:val="00C64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12D"/>
    <w:rPr>
      <w:sz w:val="16"/>
      <w:vertAlign w:val="superscript"/>
    </w:rPr>
  </w:style>
  <w:style w:type="character" w:customStyle="1" w:styleId="Symbols">
    <w:name w:val="Symbols"/>
    <w:basedOn w:val="DefaultParagraphFont"/>
    <w:rsid w:val="00C6412D"/>
    <w:rPr>
      <w:rFonts w:ascii="Symbol" w:hAnsi="Symbol"/>
    </w:rPr>
  </w:style>
  <w:style w:type="character" w:customStyle="1" w:styleId="MenuOptions">
    <w:name w:val="Menu Options"/>
    <w:basedOn w:val="DefaultParagraphFont"/>
    <w:rsid w:val="00C64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12D"/>
    <w:rPr>
      <w:b/>
    </w:rPr>
  </w:style>
  <w:style w:type="character" w:customStyle="1" w:styleId="Underlined">
    <w:name w:val="Underlined"/>
    <w:basedOn w:val="DefaultParagraphFont"/>
    <w:rsid w:val="00C6412D"/>
    <w:rPr>
      <w:u w:val="single"/>
    </w:rPr>
  </w:style>
  <w:style w:type="paragraph" w:customStyle="1" w:styleId="TableBodyTextRight">
    <w:name w:val="Table Body Text Right"/>
    <w:basedOn w:val="TableBodyText"/>
    <w:rsid w:val="00C64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12D"/>
    <w:rPr>
      <w:sz w:val="18"/>
    </w:rPr>
  </w:style>
  <w:style w:type="paragraph" w:customStyle="1" w:styleId="BodySmallRight">
    <w:name w:val="Body Small Right"/>
    <w:basedOn w:val="BodyTextRight"/>
    <w:rsid w:val="00C6412D"/>
    <w:rPr>
      <w:sz w:val="18"/>
      <w:szCs w:val="18"/>
    </w:rPr>
  </w:style>
  <w:style w:type="paragraph" w:customStyle="1" w:styleId="MarginEdition">
    <w:name w:val="Margin Edition"/>
    <w:basedOn w:val="MarginNote"/>
    <w:rsid w:val="00C64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12D"/>
    <w:rPr>
      <w:sz w:val="2"/>
      <w:szCs w:val="2"/>
    </w:rPr>
  </w:style>
  <w:style w:type="character" w:customStyle="1" w:styleId="Small">
    <w:name w:val="Small"/>
    <w:basedOn w:val="DefaultParagraphFont"/>
    <w:rsid w:val="00C6412D"/>
    <w:rPr>
      <w:sz w:val="16"/>
    </w:rPr>
  </w:style>
  <w:style w:type="paragraph" w:customStyle="1" w:styleId="WideTable">
    <w:name w:val="Wide Table"/>
    <w:basedOn w:val="Normal"/>
    <w:rsid w:val="00C64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12D"/>
  </w:style>
  <w:style w:type="paragraph" w:styleId="Quote">
    <w:name w:val="Quote"/>
    <w:basedOn w:val="Heading1"/>
    <w:link w:val="QuoteChar"/>
    <w:qFormat/>
    <w:rsid w:val="00C64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12D"/>
    <w:pPr>
      <w:pageBreakBefore/>
    </w:pPr>
  </w:style>
  <w:style w:type="paragraph" w:customStyle="1" w:styleId="Border">
    <w:name w:val="Border"/>
    <w:basedOn w:val="Normal"/>
    <w:qFormat/>
    <w:rsid w:val="00C64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12D"/>
    <w:rPr>
      <w:u w:val="single"/>
    </w:rPr>
  </w:style>
  <w:style w:type="character" w:customStyle="1" w:styleId="BoldandItalics">
    <w:name w:val="Bold and Italics"/>
    <w:qFormat/>
    <w:rsid w:val="00C6412D"/>
    <w:rPr>
      <w:b/>
      <w:i/>
      <w:u w:val="none"/>
    </w:rPr>
  </w:style>
  <w:style w:type="paragraph" w:styleId="BalloonText">
    <w:name w:val="Balloon Text"/>
    <w:basedOn w:val="Normal"/>
    <w:link w:val="BalloonTextChar"/>
    <w:rsid w:val="00C64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12D"/>
    <w:pPr>
      <w:spacing w:before="0" w:after="0"/>
    </w:pPr>
  </w:style>
  <w:style w:type="paragraph" w:customStyle="1" w:styleId="BodyTextBold">
    <w:name w:val="Body Text Bold"/>
    <w:basedOn w:val="BodyText"/>
    <w:qFormat/>
    <w:rsid w:val="00C6412D"/>
    <w:rPr>
      <w:b/>
    </w:rPr>
  </w:style>
  <w:style w:type="character" w:styleId="Hyperlink">
    <w:name w:val="Hyperlink"/>
    <w:basedOn w:val="DefaultParagraphFont"/>
    <w:uiPriority w:val="99"/>
    <w:unhideWhenUsed/>
    <w:rsid w:val="00F53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2634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ICPPRN3900 Generate proofs for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