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E77" w:rsidP="00A86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ICPPRN3870 Use colour management for production</w:t>
      </w:r>
      <w:r>
        <w:fldChar w:fldCharType="end"/>
      </w:r>
    </w:p>
    <w:p w:rsidR="00A86E77" w:rsidP="00A86E77">
      <w:pPr>
        <w:pStyle w:val="Version"/>
        <w:sectPr w:rsidSect="00F92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2A88" w:rsidP="00F92A88">
      <w:pPr>
        <w:pStyle w:val="SuperHeading"/>
      </w:pPr>
      <w:r w:rsidRPr="00F92A88">
        <w:t>ICPPRN3870 Use colour management for production</w:t>
      </w:r>
    </w:p>
    <w:p w:rsidR="00000000" w:rsidRPr="00F92A88" w:rsidP="00F92A88">
      <w:pPr>
        <w:pStyle w:val="Heading1"/>
      </w:pPr>
      <w:bookmarkStart w:id="1" w:name="O_1072904"/>
      <w:bookmarkEnd w:id="1"/>
      <w:r w:rsidRPr="00F92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9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rPr>
                <w:rStyle w:val="SpecialBold"/>
              </w:rPr>
              <w:t>Comments</w:t>
            </w:r>
          </w:p>
        </w:tc>
      </w:tr>
      <w:tr w:rsidTr="00F9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This version first released with ICP Printing and Graphic Arts Training Package Version 4.0.</w:t>
            </w:r>
          </w:p>
        </w:tc>
      </w:tr>
    </w:tbl>
    <w:p w:rsidR="00000000" w:rsidRPr="00F92A88" w:rsidP="00F92A88">
      <w:pPr>
        <w:pStyle w:val="BodyText"/>
      </w:pP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2" w:name="O_1072910"/>
      <w:bookmarkEnd w:id="2"/>
      <w:r w:rsidRPr="00F92A88">
        <w:t>Application</w:t>
      </w:r>
    </w:p>
    <w:p w:rsidR="00000000" w:rsidRPr="00F92A88" w:rsidP="00A86E77">
      <w:pPr>
        <w:pStyle w:val="BodyText"/>
      </w:pPr>
      <w:r w:rsidRPr="00F92A88">
        <w:t>This unit describes the skills and knowledge required to obtain an accep</w:t>
      </w:r>
      <w:r w:rsidRPr="00F92A88">
        <w:t>table match across colour devices, including the correct use of colour profiles and calibration of monitors and output devices.</w:t>
      </w:r>
    </w:p>
    <w:p w:rsidR="00000000" w:rsidRPr="00F92A88" w:rsidP="00A86E77">
      <w:pPr>
        <w:pStyle w:val="BodyText"/>
      </w:pPr>
      <w:r w:rsidRPr="00F92A88">
        <w:t>It applies to skilled individuals in the printing and graphic arts industry who set up, operate and monitor equipment and machin</w:t>
      </w:r>
      <w:r w:rsidRPr="00F92A88">
        <w:t>ery, and who may have to prepare material and apply solutions to problems. They may also provide leadership and guidance to others, with limited responsibility for the output of others.</w:t>
      </w:r>
    </w:p>
    <w:p w:rsidR="00000000" w:rsidRPr="00F92A88" w:rsidP="00A86E77">
      <w:pPr>
        <w:pStyle w:val="BodyText"/>
      </w:pPr>
      <w:r w:rsidRPr="00F92A88">
        <w:t xml:space="preserve">No licensing, legislative or certification requirements apply to this </w:t>
      </w:r>
      <w:r w:rsidRPr="00F92A88">
        <w:t>unit at the time of publication.</w:t>
      </w:r>
    </w:p>
    <w:p w:rsidR="00000000" w:rsidRPr="00F92A88" w:rsidP="00F92A88">
      <w:pPr>
        <w:pStyle w:val="Heading1"/>
      </w:pPr>
      <w:bookmarkStart w:id="3" w:name="O_1072909"/>
      <w:bookmarkEnd w:id="3"/>
      <w:r w:rsidRPr="00F92A88">
        <w:t>Pre-requisite Unit</w:t>
      </w:r>
    </w:p>
    <w:p w:rsidR="00000000" w:rsidRPr="00F92A88" w:rsidP="00A86E77">
      <w:pPr>
        <w:pStyle w:val="BodyText"/>
      </w:pPr>
      <w:r w:rsidRPr="00F92A88">
        <w:t>ICPPRN284 Use colour management systems</w:t>
      </w:r>
    </w:p>
    <w:p w:rsidR="00000000" w:rsidRPr="00F92A88" w:rsidP="00F92A88">
      <w:pPr>
        <w:pStyle w:val="Heading1"/>
      </w:pPr>
      <w:bookmarkStart w:id="4" w:name="O_1072908"/>
      <w:bookmarkEnd w:id="4"/>
      <w:r w:rsidRPr="00F92A88">
        <w:t>Unit Sector</w:t>
      </w:r>
    </w:p>
    <w:p w:rsidR="00000000" w:rsidRPr="00F92A88" w:rsidP="00A86E77">
      <w:pPr>
        <w:pStyle w:val="BodyText"/>
      </w:pPr>
      <w:r w:rsidRPr="00F92A88">
        <w:t>Printing</w:t>
      </w:r>
    </w:p>
    <w:p w:rsidR="00000000" w:rsidRPr="00F92A88" w:rsidP="00F92A88">
      <w:pPr>
        <w:pStyle w:val="Heading1"/>
      </w:pPr>
      <w:bookmarkStart w:id="5" w:name="O_1072907"/>
      <w:bookmarkEnd w:id="5"/>
      <w:r w:rsidRPr="00F92A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rPr>
                <w:rStyle w:val="SpecialBold"/>
              </w:rPr>
              <w:t>PERFORMANCE CRITERIA</w:t>
            </w:r>
          </w:p>
        </w:tc>
      </w:tr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1. Identify colour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1.1 Determine publication conditions and identify colour management requirements</w:t>
            </w:r>
          </w:p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 xml:space="preserve">1.2 </w:t>
            </w:r>
            <w:r w:rsidRPr="00F92A88">
              <w:t>Establish requirements to guide provision and use of colour profiles</w:t>
            </w:r>
          </w:p>
        </w:tc>
      </w:tr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2. Calibrate digital devices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2.1 Calibrate digital devices in the workflow according to colour reproduction requirements</w:t>
            </w:r>
          </w:p>
          <w:p w:rsidR="00000000" w:rsidRPr="00F92A88" w:rsidP="00F92A88">
            <w:pPr>
              <w:pStyle w:val="BodyText"/>
            </w:pPr>
            <w:r w:rsidRPr="00F92A88">
              <w:t xml:space="preserve">2.2 Create, use and store device profiles created during calibration according to work health and safety (WHS) requirements </w:t>
            </w:r>
          </w:p>
          <w:p w:rsidR="00000000" w:rsidRPr="00F92A88" w:rsidP="00F92A88">
            <w:pPr>
              <w:pStyle w:val="BodyText"/>
            </w:pPr>
            <w:r w:rsidRPr="00F92A88">
              <w:t xml:space="preserve">2.3 Check digital devices and confirm they meet calibration requirements </w:t>
            </w:r>
          </w:p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2.4 Adjust profiles and equipment parameters to bring dev</w:t>
            </w:r>
            <w:r w:rsidRPr="00F92A88">
              <w:t>ices back into calibration, as required</w:t>
            </w:r>
          </w:p>
        </w:tc>
      </w:tr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3. Use colour profiles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3.1 Identify source and destination profiles within the workflow</w:t>
            </w:r>
          </w:p>
          <w:p w:rsidR="00000000" w:rsidRPr="00F92A88" w:rsidP="00F92A88">
            <w:pPr>
              <w:pStyle w:val="BodyText"/>
            </w:pPr>
            <w:r w:rsidRPr="00F92A88">
              <w:t xml:space="preserve">3.2 Use profiles to confirm colour match on monitors, proofs and final product requirements </w:t>
            </w:r>
          </w:p>
          <w:p w:rsidR="00000000" w:rsidRPr="00F92A88" w:rsidP="00F92A88">
            <w:pPr>
              <w:pStyle w:val="BodyText"/>
            </w:pPr>
            <w:r w:rsidRPr="00F92A88">
              <w:t>3.3 Convert images to correct prof</w:t>
            </w:r>
            <w:r w:rsidRPr="00F92A88">
              <w:t>ile if incorrect profile is embedded</w:t>
            </w:r>
          </w:p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3.4 Use rendering intent and confirm accurate colour conversion</w:t>
            </w:r>
          </w:p>
        </w:tc>
      </w:tr>
      <w:tr w:rsidTr="00F92A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4. Configure software within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4.1 Determine software applications, within workflow, with colour management features</w:t>
            </w:r>
          </w:p>
          <w:p w:rsidR="00000000" w:rsidRPr="00F92A88" w:rsidP="00F92A88">
            <w:pPr>
              <w:pStyle w:val="BodyText"/>
            </w:pPr>
            <w:r w:rsidRPr="00F92A88">
              <w:t>4.2 Configure software applica</w:t>
            </w:r>
            <w:r w:rsidRPr="00F92A88">
              <w:t>tions with colour management features to meet output conditions</w:t>
            </w:r>
          </w:p>
          <w:p w:rsidR="00000000" w:rsidRPr="00F92A88" w:rsidP="00F92A88">
            <w:pPr>
              <w:pStyle w:val="BodyText"/>
            </w:pPr>
            <w:r w:rsidRPr="00F92A88">
              <w:t xml:space="preserve">4.3 Configure, save and use range of colour management presets according to output requirements </w:t>
            </w:r>
          </w:p>
        </w:tc>
      </w:tr>
    </w:tbl>
    <w:p w:rsidR="00000000" w:rsidRPr="00F92A88" w:rsidP="00F92A88">
      <w:pPr>
        <w:pStyle w:val="BodyText"/>
      </w:pP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6" w:name="O_1072906"/>
      <w:bookmarkEnd w:id="6"/>
      <w:r w:rsidRPr="00F92A88">
        <w:t>Foundation Skills</w:t>
      </w:r>
    </w:p>
    <w:p w:rsidR="00000000" w:rsidRPr="00A86E77" w:rsidP="00A86E77">
      <w:pPr>
        <w:pStyle w:val="BodyText"/>
        <w:rPr>
          <w:i/>
        </w:rPr>
      </w:pPr>
      <w:r w:rsidRPr="00A86E77">
        <w:rPr>
          <w:rStyle w:val="Emphasis"/>
        </w:rPr>
        <w:t xml:space="preserve">This section describes language, literacy, numeracy and </w:t>
      </w:r>
      <w:r w:rsidRPr="00A86E77">
        <w:rPr>
          <w:rStyle w:val="Emphasis"/>
        </w:rPr>
        <w:t>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39"/>
      </w:tblGrid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rPr>
                <w:rStyle w:val="SpecialBold"/>
              </w:rPr>
              <w:t>Skill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rPr>
                <w:rStyle w:val="SpecialBold"/>
              </w:rPr>
              <w:t>Description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Reading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ListBullet"/>
              <w:rPr>
                <w:lang w:val="en-NZ"/>
              </w:rPr>
            </w:pPr>
            <w:r w:rsidRPr="00F92A88">
              <w:t xml:space="preserve">Identifies and interprets text to establish job requirements from information contained within </w:t>
            </w:r>
            <w:r w:rsidRPr="00F92A88">
              <w:t>relevant procedures and specifications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Writing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ListBullet"/>
              <w:rPr>
                <w:lang w:val="en-NZ"/>
              </w:rPr>
            </w:pPr>
            <w:r w:rsidRPr="00F92A88">
              <w:t>Enters routine data associated with production processes and enterprise procedures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Self-management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ListBullet"/>
            </w:pPr>
            <w:r w:rsidRPr="00F92A88">
              <w:t>Identifies and follows explicit and implicit protocols and meets expectations associated with own role</w:t>
            </w:r>
          </w:p>
          <w:p w:rsidR="00000000" w:rsidP="00F92A88">
            <w:pPr>
              <w:pStyle w:val="ListBullet"/>
              <w:rPr>
                <w:lang w:val="en-NZ"/>
              </w:rPr>
            </w:pPr>
            <w:r w:rsidRPr="00F92A88">
              <w:t>Com</w:t>
            </w:r>
            <w:r w:rsidRPr="00F92A88">
              <w:t>plies with work health and safety (WHS) requirements and follows enterprise procedures relevant to own role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 xml:space="preserve">Planning and </w:t>
            </w:r>
            <w:r w:rsidRPr="00F92A88">
              <w:t>organising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ListBullet"/>
              <w:rPr>
                <w:lang w:val="en-NZ"/>
              </w:rPr>
            </w:pPr>
            <w:r w:rsidRPr="00F92A88">
              <w:t xml:space="preserve">Takes responsibility for planning and organising own workload, and </w:t>
            </w:r>
            <w:r w:rsidRPr="00F92A88">
              <w:t>assembles required resources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Problem Solving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ListBullet"/>
              <w:rPr>
                <w:lang w:val="en-NZ"/>
              </w:rPr>
            </w:pPr>
            <w:r w:rsidRPr="00F92A88">
              <w:t>Recognises and takes responsibility for addressing predictable, and some less predictable, problems in familiar work contexts</w:t>
            </w:r>
          </w:p>
        </w:tc>
      </w:tr>
      <w:tr w:rsidTr="00F92A8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Technology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ListBullet"/>
            </w:pPr>
            <w:r w:rsidRPr="00F92A88">
              <w:t>Utilises a broad range of features within applications to improve personal productivity, optimising software function</w:t>
            </w:r>
            <w:r w:rsidRPr="00F92A88">
              <w:t>s for specific purposes</w:t>
            </w:r>
          </w:p>
        </w:tc>
      </w:tr>
    </w:tbl>
    <w:p w:rsidR="00000000" w:rsidRPr="00F92A88" w:rsidP="00F92A88">
      <w:pPr>
        <w:pStyle w:val="BodyText"/>
      </w:pP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7" w:name="O_1072905"/>
      <w:bookmarkEnd w:id="7"/>
      <w:r w:rsidRPr="00F92A88">
        <w:t>Unit Mapping Information</w:t>
      </w:r>
    </w:p>
    <w:p w:rsidR="00000000" w:rsidRPr="00F92A88" w:rsidP="00A86E77">
      <w:pPr>
        <w:pStyle w:val="BodyText"/>
      </w:pPr>
      <w:r w:rsidRPr="00F92A88">
        <w:t>Supersedes and is equivalent to ICPPRN387 Use colour management for production.</w:t>
      </w:r>
    </w:p>
    <w:p w:rsidR="00000000" w:rsidRPr="00F92A88" w:rsidP="00F92A88">
      <w:pPr>
        <w:pStyle w:val="Heading1"/>
      </w:pPr>
      <w:bookmarkStart w:id="8" w:name="O_1072898"/>
      <w:bookmarkEnd w:id="8"/>
      <w:r w:rsidRPr="00F92A88">
        <w:t>Links</w:t>
      </w:r>
    </w:p>
    <w:p w:rsidR="00000000" w:rsidRPr="00F92A88" w:rsidP="00A86E77">
      <w:pPr>
        <w:pStyle w:val="BodyText"/>
      </w:pPr>
      <w:r w:rsidRPr="00F92A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F2D4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92A88" w:rsidP="00A86E77">
      <w:pPr>
        <w:pStyle w:val="BodyText"/>
        <w:sectPr w:rsidSect="00F92A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2A88" w:rsidP="00F92A88">
      <w:pPr>
        <w:pStyle w:val="SuperHeading"/>
      </w:pPr>
      <w:r w:rsidRPr="00F92A88">
        <w:t xml:space="preserve">Assessment Requirements for ICPPRN3870 Use colour management for </w:t>
      </w:r>
      <w:r w:rsidRPr="00F92A88">
        <w:t>production</w:t>
      </w:r>
    </w:p>
    <w:p w:rsidR="00000000" w:rsidRPr="00F92A88" w:rsidP="00F92A88">
      <w:pPr>
        <w:pStyle w:val="Heading1"/>
      </w:pPr>
      <w:bookmarkStart w:id="9" w:name="O_1072900"/>
      <w:bookmarkEnd w:id="9"/>
      <w:r w:rsidRPr="00F92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9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rPr>
                <w:rStyle w:val="SpecialBold"/>
              </w:rPr>
              <w:t>Comments</w:t>
            </w:r>
          </w:p>
        </w:tc>
      </w:tr>
      <w:tr w:rsidTr="00F92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A88">
            <w:pPr>
              <w:pStyle w:val="BodyText"/>
              <w:rPr>
                <w:lang w:val="en-NZ"/>
              </w:rPr>
            </w:pPr>
            <w:r w:rsidRPr="00F92A8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A88" w:rsidP="00F92A88">
            <w:pPr>
              <w:pStyle w:val="BodyText"/>
            </w:pPr>
            <w:r w:rsidRPr="00F92A88">
              <w:t>This version first released with ICP Printing and Graphic Arts Training Package Version 4.0.</w:t>
            </w:r>
          </w:p>
        </w:tc>
      </w:tr>
    </w:tbl>
    <w:p w:rsidR="00000000" w:rsidRPr="00F92A88" w:rsidP="00F92A88">
      <w:pPr>
        <w:pStyle w:val="BodyText"/>
      </w:pP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10" w:name="O_1072903"/>
      <w:bookmarkEnd w:id="10"/>
      <w:r w:rsidRPr="00F92A88">
        <w:t>Performance Evidence</w:t>
      </w:r>
    </w:p>
    <w:p w:rsidR="00000000" w:rsidRPr="00F92A88" w:rsidP="00A86E77">
      <w:pPr>
        <w:pStyle w:val="BodyText"/>
      </w:pPr>
      <w:r w:rsidRPr="00F92A88">
        <w:t>The candidate must demonstrate the ability to complete the tasks outlined in the elements, performance criteria and foundation skills of this unit, including evidence of the ability to:</w:t>
      </w:r>
    </w:p>
    <w:p w:rsidR="00000000" w:rsidRPr="00F92A88" w:rsidP="00F92A88">
      <w:pPr>
        <w:pStyle w:val="ListBullet"/>
      </w:pPr>
      <w:r w:rsidRPr="00F92A88">
        <w:t>produce three jobs with final product on varied media, including both</w:t>
      </w:r>
      <w:r w:rsidRPr="00F92A88">
        <w:t xml:space="preserve"> print and digital platforms.</w:t>
      </w:r>
    </w:p>
    <w:p w:rsidR="00000000" w:rsidRPr="00F92A88" w:rsidP="00A86E77">
      <w:pPr>
        <w:pStyle w:val="BodyText"/>
      </w:pPr>
      <w:r w:rsidRPr="00F92A88">
        <w:t>In the course of the above the candidate must:</w:t>
      </w:r>
    </w:p>
    <w:p w:rsidR="00000000" w:rsidRPr="00F92A88" w:rsidP="00F92A88">
      <w:pPr>
        <w:pStyle w:val="ListBullet"/>
      </w:pPr>
      <w:r w:rsidRPr="00F92A88">
        <w:t>apply colour management system maintenance procedures according to enterprise procedures and job specifications.</w:t>
      </w: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11" w:name="O_1072902"/>
      <w:bookmarkEnd w:id="11"/>
      <w:r w:rsidRPr="00F92A88">
        <w:t>Knowledge Evidence</w:t>
      </w:r>
    </w:p>
    <w:p w:rsidR="00000000" w:rsidRPr="00F92A88" w:rsidP="00A86E77">
      <w:pPr>
        <w:pStyle w:val="BodyText"/>
      </w:pPr>
      <w:r w:rsidRPr="00F92A88">
        <w:t>The candidate must be able to demonstrate knowledge to complete the tasks outlined in the elements, performance criteria and foundation skills of this unit, including knowledge of:</w:t>
      </w:r>
    </w:p>
    <w:p w:rsidR="00000000" w:rsidRPr="00F92A88" w:rsidP="00F92A88">
      <w:pPr>
        <w:pStyle w:val="ListBullet"/>
      </w:pPr>
      <w:r w:rsidRPr="00F92A88">
        <w:t>work health and safety (WHS) risks and requirements for managing colour fo</w:t>
      </w:r>
      <w:r w:rsidRPr="00F92A88">
        <w:t>r digital production</w:t>
      </w:r>
    </w:p>
    <w:p w:rsidR="00000000" w:rsidRPr="00F92A88" w:rsidP="00F92A88">
      <w:pPr>
        <w:pStyle w:val="ListBullet"/>
      </w:pPr>
      <w:r w:rsidRPr="00F92A88">
        <w:t>densitometric and spectrophotometric measurement</w:t>
      </w:r>
    </w:p>
    <w:p w:rsidR="00000000" w:rsidRPr="00F92A88" w:rsidP="00F92A88">
      <w:pPr>
        <w:pStyle w:val="ListBullet"/>
      </w:pPr>
      <w:r w:rsidRPr="00F92A88">
        <w:t>International Colour Consortium (ICC) profiles, their use and the effects they can have on output</w:t>
      </w:r>
    </w:p>
    <w:p w:rsidR="00000000" w:rsidRPr="00F92A88" w:rsidP="00F92A88">
      <w:pPr>
        <w:pStyle w:val="ListBullet"/>
      </w:pPr>
      <w:r w:rsidRPr="00F92A88">
        <w:t>device independent colour and profile connection spaces</w:t>
      </w:r>
    </w:p>
    <w:p w:rsidR="00000000" w:rsidRPr="00F92A88" w:rsidP="00F92A88">
      <w:pPr>
        <w:pStyle w:val="ListBullet"/>
      </w:pPr>
      <w:r w:rsidRPr="00F92A88">
        <w:t xml:space="preserve">use of colour space conversions </w:t>
      </w:r>
      <w:r w:rsidRPr="00F92A88">
        <w:t>and rendering intents</w:t>
      </w:r>
    </w:p>
    <w:p w:rsidR="00000000" w:rsidRPr="00F92A88" w:rsidP="00F92A88">
      <w:pPr>
        <w:pStyle w:val="ListBullet"/>
      </w:pPr>
      <w:r w:rsidRPr="00F92A88">
        <w:t>factors that influence selection of highlight and shadow aim points</w:t>
      </w:r>
    </w:p>
    <w:p w:rsidR="00000000" w:rsidRPr="00F92A88" w:rsidP="00F92A88">
      <w:pPr>
        <w:pStyle w:val="ListBullet"/>
      </w:pPr>
      <w:r w:rsidRPr="00F92A88">
        <w:t>grey balance requirements in relation to colour correction and the process of determining them</w:t>
      </w:r>
    </w:p>
    <w:p w:rsidR="00000000" w:rsidRPr="00F92A88" w:rsidP="00F92A88">
      <w:pPr>
        <w:pStyle w:val="ListBullet"/>
      </w:pPr>
      <w:r w:rsidRPr="00F92A88">
        <w:t>ink/toner light errors and the distinctions between ‘ideal’ and ‘actual</w:t>
      </w:r>
      <w:r w:rsidRPr="00F92A88">
        <w:t>’ inks/toners</w:t>
      </w:r>
    </w:p>
    <w:p w:rsidR="00000000" w:rsidRPr="00F92A88" w:rsidP="00F92A88">
      <w:pPr>
        <w:pStyle w:val="ListBullet"/>
      </w:pPr>
      <w:r w:rsidRPr="00F92A88">
        <w:t>viewing light conditions and metamerism</w:t>
      </w:r>
    </w:p>
    <w:p w:rsidR="00000000" w:rsidRPr="00F92A88" w:rsidP="00F92A88">
      <w:pPr>
        <w:pStyle w:val="ListBullet"/>
      </w:pPr>
      <w:r w:rsidRPr="00F92A88">
        <w:t>factors determining requirements for colour correction and the effect different stocks have on colour</w:t>
      </w:r>
    </w:p>
    <w:p w:rsidR="00000000" w:rsidRPr="00F92A88" w:rsidP="00F92A88">
      <w:pPr>
        <w:pStyle w:val="ListBullet"/>
      </w:pPr>
      <w:r w:rsidRPr="00F92A88">
        <w:t>the effects different inks have on colour reproduction for proofing and final production, and the ef</w:t>
      </w:r>
      <w:r w:rsidRPr="00F92A88">
        <w:t>fect of dot gain on colour</w:t>
      </w:r>
    </w:p>
    <w:p w:rsidR="00000000" w:rsidRPr="00F92A88" w:rsidP="00F92A88">
      <w:pPr>
        <w:pStyle w:val="ListBullet"/>
      </w:pPr>
      <w:r w:rsidRPr="00F92A88">
        <w:t>the type of press and printing process used for final output</w:t>
      </w:r>
    </w:p>
    <w:p w:rsidR="00000000" w:rsidRPr="00F92A88" w:rsidP="00F92A88">
      <w:pPr>
        <w:pStyle w:val="ListBullet"/>
      </w:pPr>
      <w:r w:rsidRPr="00F92A88">
        <w:t>solutions to common problems of colour management</w:t>
      </w:r>
    </w:p>
    <w:p w:rsidR="00000000" w:rsidRPr="00F92A88" w:rsidP="00F92A88">
      <w:pPr>
        <w:pStyle w:val="ListBullet"/>
      </w:pPr>
      <w:r w:rsidRPr="00F92A88">
        <w:t>the effects of using the wrong profile on output</w:t>
      </w:r>
    </w:p>
    <w:p w:rsidR="00000000" w:rsidRPr="00F92A88" w:rsidP="00F92A88">
      <w:pPr>
        <w:pStyle w:val="ListBullet"/>
      </w:pPr>
      <w:r w:rsidRPr="00F92A88">
        <w:t>manufacturer manuals, enterprise procedures and work health and safet</w:t>
      </w:r>
      <w:r w:rsidRPr="00F92A88">
        <w:t>y documentation, including their location and purpose.</w:t>
      </w:r>
    </w:p>
    <w:p w:rsidR="00000000" w:rsidRPr="00F92A88" w:rsidP="00F92A88">
      <w:pPr>
        <w:pStyle w:val="AllowPageBreak"/>
      </w:pPr>
    </w:p>
    <w:p w:rsidR="00000000" w:rsidRPr="00F92A88" w:rsidP="00F92A88">
      <w:pPr>
        <w:pStyle w:val="Heading1"/>
      </w:pPr>
      <w:bookmarkStart w:id="12" w:name="O_1072901"/>
      <w:bookmarkEnd w:id="12"/>
      <w:r w:rsidRPr="00F92A88">
        <w:t>Assessment Conditions</w:t>
      </w:r>
    </w:p>
    <w:p w:rsidR="00000000" w:rsidRPr="00F92A88" w:rsidP="00A86E77">
      <w:pPr>
        <w:pStyle w:val="BodyText"/>
      </w:pPr>
      <w:r w:rsidRPr="00F92A88">
        <w:t>Gather evidence to demonstrate consistent performance in conditions that are safe and replicate the workplace. Noise levels, production flow, i</w:t>
      </w:r>
      <w:r w:rsidRPr="00F92A88">
        <w:t xml:space="preserve">nterruptions and time variances must be typical of those experienced in the printing field of work and include access to: </w:t>
      </w:r>
    </w:p>
    <w:p w:rsidR="00000000" w:rsidRPr="00F92A88" w:rsidP="00F92A88">
      <w:pPr>
        <w:pStyle w:val="ListBullet"/>
      </w:pPr>
      <w:r w:rsidRPr="00F92A88">
        <w:t>special purpose tools, equipment and materials</w:t>
      </w:r>
    </w:p>
    <w:p w:rsidR="00000000" w:rsidRPr="00F92A88" w:rsidP="00F92A88">
      <w:pPr>
        <w:pStyle w:val="ListBullet"/>
      </w:pPr>
      <w:r w:rsidRPr="00F92A88">
        <w:t>colour management systems.</w:t>
      </w:r>
    </w:p>
    <w:p w:rsidR="00000000" w:rsidRPr="00F92A88" w:rsidP="00A86E77">
      <w:pPr>
        <w:pStyle w:val="BodyText"/>
      </w:pPr>
      <w:r w:rsidRPr="00F92A88">
        <w:t>Assessors of this unit must satisfy the requirements for a</w:t>
      </w:r>
      <w:r w:rsidRPr="00F92A88">
        <w:t>ssessors in applicable vocational education and training legislation, frameworks and/or standards.</w:t>
      </w:r>
    </w:p>
    <w:p w:rsidR="00000000" w:rsidRPr="00F92A88" w:rsidP="00F92A88">
      <w:pPr>
        <w:pStyle w:val="Heading1"/>
      </w:pPr>
      <w:bookmarkStart w:id="13" w:name="O_1072899"/>
      <w:bookmarkEnd w:id="13"/>
      <w:r w:rsidRPr="00F92A88">
        <w:t>Links</w:t>
      </w:r>
    </w:p>
    <w:p w:rsidR="00000000" w:rsidRPr="00F92A88" w:rsidP="00A86E77">
      <w:pPr>
        <w:pStyle w:val="BodyText"/>
      </w:pPr>
      <w:r w:rsidRPr="00F92A8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F2D4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92A88" w:rsidP="00F92A88"/>
    <w:sectPr w:rsidSect="00F92A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 w:rsidRPr="00A86E77" w:rsidP="00A86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77" w:rsidP="00F92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6E77" w:rsidP="00F92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86E77" w:rsidP="00F92A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 w:rsidP="00F92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6E77">
      <w:t>Approved</w:t>
    </w:r>
    <w:r w:rsidR="00A86E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6E7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6E77">
      <w:rPr>
        <w:noProof/>
      </w:rPr>
      <w:t>4</w:t>
    </w:r>
    <w:r>
      <w:rPr>
        <w:noProof/>
      </w:rPr>
      <w:fldChar w:fldCharType="end"/>
    </w:r>
  </w:p>
  <w:p w:rsidR="00F92A88" w:rsidP="00F92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6E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6E77">
      <w:t>Manufacturing Industry Skills Alliance</w:t>
    </w:r>
    <w:r w:rsidR="00A86E77">
      <w:fldChar w:fldCharType="end"/>
    </w:r>
  </w:p>
  <w:p w:rsidR="00F92A88" w:rsidP="00F92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2A88" w:rsidRPr="00A86E77" w:rsidP="00A86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77" w:rsidRPr="002D2AF8" w:rsidP="00F92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ICPPRN3870 Use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6E77" w:rsidP="00F92A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A88" w:rsidRPr="002D2AF8" w:rsidP="00F92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6E77">
      <w:t>ICPPRN3870 Use colour management for production</w:t>
    </w:r>
    <w:r w:rsidR="00A86E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6E77">
      <w:rPr>
        <w:noProof/>
      </w:rPr>
      <w:t>2 March 2025</w:t>
    </w:r>
    <w:r>
      <w:fldChar w:fldCharType="end"/>
    </w:r>
  </w:p>
  <w:p w:rsidR="00F92A88" w:rsidP="00F92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E0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322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A88"/>
  </w:style>
  <w:style w:type="character" w:customStyle="1" w:styleId="Heading1Char">
    <w:name w:val="Heading 1 Char"/>
    <w:basedOn w:val="DefaultParagraphFont"/>
    <w:link w:val="Heading1"/>
    <w:rsid w:val="00F92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2A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2A88"/>
    <w:rPr>
      <w:b/>
      <w:spacing w:val="0"/>
    </w:rPr>
  </w:style>
  <w:style w:type="character" w:styleId="Emphasis">
    <w:name w:val="Emphasis"/>
    <w:basedOn w:val="DefaultParagraphFont"/>
    <w:qFormat/>
    <w:rsid w:val="00F92A88"/>
    <w:rPr>
      <w:i/>
    </w:rPr>
  </w:style>
  <w:style w:type="paragraph" w:customStyle="1" w:styleId="SuperHeading">
    <w:name w:val="SuperHeading"/>
    <w:basedOn w:val="Normal"/>
    <w:rsid w:val="00F92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2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2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A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A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2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A88"/>
  </w:style>
  <w:style w:type="paragraph" w:styleId="TableofFigures">
    <w:name w:val="table of figures"/>
    <w:basedOn w:val="Normal"/>
    <w:next w:val="Normal"/>
    <w:semiHidden/>
    <w:rsid w:val="00F92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A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2A88"/>
    <w:rPr>
      <w:rFonts w:ascii="Wingdings" w:hAnsi="Wingdings"/>
    </w:rPr>
  </w:style>
  <w:style w:type="paragraph" w:customStyle="1" w:styleId="TableHeading">
    <w:name w:val="Table Heading"/>
    <w:basedOn w:val="HeadingBase"/>
    <w:rsid w:val="00F92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A88"/>
    <w:rPr>
      <w:color w:val="0033CC"/>
      <w:u w:val="none"/>
    </w:rPr>
  </w:style>
  <w:style w:type="paragraph" w:customStyle="1" w:styleId="BodyTextRight">
    <w:name w:val="Body Text Right"/>
    <w:basedOn w:val="BodyText"/>
    <w:rsid w:val="00F92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A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A88"/>
    <w:rPr>
      <w:sz w:val="32"/>
    </w:rPr>
  </w:style>
  <w:style w:type="paragraph" w:customStyle="1" w:styleId="HeadingProcedure">
    <w:name w:val="Heading Procedure"/>
    <w:basedOn w:val="HeadingBase"/>
    <w:next w:val="Normal"/>
    <w:rsid w:val="00F92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A88"/>
    <w:pPr>
      <w:spacing w:before="60" w:after="60"/>
    </w:pPr>
  </w:style>
  <w:style w:type="paragraph" w:styleId="ListContinue">
    <w:name w:val="List Continue"/>
    <w:basedOn w:val="List"/>
    <w:rsid w:val="00F92A88"/>
    <w:pPr>
      <w:ind w:firstLine="0"/>
    </w:pPr>
  </w:style>
  <w:style w:type="paragraph" w:customStyle="1" w:styleId="ListNote">
    <w:name w:val="List Note"/>
    <w:basedOn w:val="List"/>
    <w:rsid w:val="00F92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A88"/>
    <w:rPr>
      <w:rFonts w:ascii="Courier New" w:hAnsi="Courier New"/>
    </w:rPr>
  </w:style>
  <w:style w:type="paragraph" w:customStyle="1" w:styleId="NoteBullet">
    <w:name w:val="Note Bullet"/>
    <w:basedOn w:val="Note"/>
    <w:rsid w:val="00F92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A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A88"/>
    <w:rPr>
      <w:b/>
      <w:smallCaps/>
    </w:rPr>
  </w:style>
  <w:style w:type="paragraph" w:customStyle="1" w:styleId="TableListNumber">
    <w:name w:val="Table List Number"/>
    <w:basedOn w:val="ListNumber"/>
    <w:rsid w:val="00F92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A88"/>
    <w:pPr>
      <w:numPr>
        <w:numId w:val="8"/>
      </w:numPr>
    </w:pPr>
  </w:style>
  <w:style w:type="paragraph" w:customStyle="1" w:styleId="ListAlpha2">
    <w:name w:val="List Alpha 2"/>
    <w:basedOn w:val="List2"/>
    <w:rsid w:val="00F92A88"/>
    <w:pPr>
      <w:numPr>
        <w:numId w:val="7"/>
      </w:numPr>
    </w:pPr>
  </w:style>
  <w:style w:type="paragraph" w:styleId="List2">
    <w:name w:val="List 2"/>
    <w:basedOn w:val="BodyText"/>
    <w:rsid w:val="00F92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A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A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2A88"/>
    <w:pPr>
      <w:numPr>
        <w:numId w:val="3"/>
      </w:numPr>
    </w:pPr>
  </w:style>
  <w:style w:type="paragraph" w:styleId="ListContinue2">
    <w:name w:val="List Continue 2"/>
    <w:basedOn w:val="List2"/>
    <w:rsid w:val="00F92A88"/>
    <w:pPr>
      <w:ind w:firstLine="0"/>
    </w:pPr>
  </w:style>
  <w:style w:type="paragraph" w:styleId="ListContinue3">
    <w:name w:val="List Continue 3"/>
    <w:basedOn w:val="List3"/>
    <w:rsid w:val="00F92A88"/>
    <w:pPr>
      <w:ind w:left="1021" w:firstLine="0"/>
    </w:pPr>
  </w:style>
  <w:style w:type="paragraph" w:styleId="ListContinue4">
    <w:name w:val="List Continue 4"/>
    <w:basedOn w:val="List4"/>
    <w:rsid w:val="00F92A88"/>
    <w:pPr>
      <w:ind w:firstLine="0"/>
    </w:pPr>
  </w:style>
  <w:style w:type="paragraph" w:styleId="ListContinue5">
    <w:name w:val="List Continue 5"/>
    <w:basedOn w:val="List5"/>
    <w:rsid w:val="00F92A88"/>
    <w:pPr>
      <w:ind w:firstLine="0"/>
    </w:pPr>
  </w:style>
  <w:style w:type="paragraph" w:styleId="ListNumber3">
    <w:name w:val="List Number 3"/>
    <w:basedOn w:val="List3"/>
    <w:rsid w:val="00F92A88"/>
    <w:pPr>
      <w:numPr>
        <w:numId w:val="4"/>
      </w:numPr>
    </w:pPr>
  </w:style>
  <w:style w:type="paragraph" w:styleId="ListNumber4">
    <w:name w:val="List Number 4"/>
    <w:basedOn w:val="List4"/>
    <w:rsid w:val="00F92A88"/>
    <w:pPr>
      <w:numPr>
        <w:numId w:val="5"/>
      </w:numPr>
    </w:pPr>
  </w:style>
  <w:style w:type="paragraph" w:styleId="ListNumber5">
    <w:name w:val="List Number 5"/>
    <w:basedOn w:val="List5"/>
    <w:rsid w:val="00F92A88"/>
    <w:pPr>
      <w:numPr>
        <w:numId w:val="6"/>
      </w:numPr>
    </w:pPr>
  </w:style>
  <w:style w:type="paragraph" w:styleId="BlockText">
    <w:name w:val="Block Text"/>
    <w:basedOn w:val="Normal"/>
    <w:rsid w:val="00F92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A88"/>
    <w:rPr>
      <w:sz w:val="16"/>
      <w:vertAlign w:val="superscript"/>
    </w:rPr>
  </w:style>
  <w:style w:type="character" w:customStyle="1" w:styleId="Symbols">
    <w:name w:val="Symbols"/>
    <w:basedOn w:val="DefaultParagraphFont"/>
    <w:rsid w:val="00F92A88"/>
    <w:rPr>
      <w:rFonts w:ascii="Symbol" w:hAnsi="Symbol"/>
    </w:rPr>
  </w:style>
  <w:style w:type="character" w:customStyle="1" w:styleId="MenuOptions">
    <w:name w:val="Menu Options"/>
    <w:basedOn w:val="DefaultParagraphFont"/>
    <w:rsid w:val="00F92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A88"/>
    <w:rPr>
      <w:b/>
    </w:rPr>
  </w:style>
  <w:style w:type="character" w:customStyle="1" w:styleId="Underlined">
    <w:name w:val="Underlined"/>
    <w:basedOn w:val="DefaultParagraphFont"/>
    <w:rsid w:val="00F92A88"/>
    <w:rPr>
      <w:u w:val="single"/>
    </w:rPr>
  </w:style>
  <w:style w:type="paragraph" w:customStyle="1" w:styleId="TableBodyTextRight">
    <w:name w:val="Table Body Text Right"/>
    <w:basedOn w:val="TableBodyText"/>
    <w:rsid w:val="00F92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A88"/>
    <w:rPr>
      <w:sz w:val="18"/>
    </w:rPr>
  </w:style>
  <w:style w:type="paragraph" w:customStyle="1" w:styleId="BodySmallRight">
    <w:name w:val="Body Small Right"/>
    <w:basedOn w:val="BodyTextRight"/>
    <w:rsid w:val="00F92A88"/>
    <w:rPr>
      <w:sz w:val="18"/>
      <w:szCs w:val="18"/>
    </w:rPr>
  </w:style>
  <w:style w:type="paragraph" w:customStyle="1" w:styleId="MarginEdition">
    <w:name w:val="Margin Edition"/>
    <w:basedOn w:val="MarginNote"/>
    <w:rsid w:val="00F92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A88"/>
    <w:rPr>
      <w:sz w:val="2"/>
      <w:szCs w:val="2"/>
    </w:rPr>
  </w:style>
  <w:style w:type="character" w:customStyle="1" w:styleId="Small">
    <w:name w:val="Small"/>
    <w:basedOn w:val="DefaultParagraphFont"/>
    <w:rsid w:val="00F92A88"/>
    <w:rPr>
      <w:sz w:val="16"/>
    </w:rPr>
  </w:style>
  <w:style w:type="paragraph" w:customStyle="1" w:styleId="WideTable">
    <w:name w:val="Wide Table"/>
    <w:basedOn w:val="Normal"/>
    <w:rsid w:val="00F92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A88"/>
  </w:style>
  <w:style w:type="paragraph" w:styleId="Quote">
    <w:name w:val="Quote"/>
    <w:basedOn w:val="Heading1"/>
    <w:link w:val="QuoteChar"/>
    <w:qFormat/>
    <w:rsid w:val="00F92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A88"/>
    <w:pPr>
      <w:pageBreakBefore/>
    </w:pPr>
  </w:style>
  <w:style w:type="paragraph" w:customStyle="1" w:styleId="Border">
    <w:name w:val="Border"/>
    <w:basedOn w:val="Normal"/>
    <w:qFormat/>
    <w:rsid w:val="00F92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A88"/>
    <w:rPr>
      <w:u w:val="single"/>
    </w:rPr>
  </w:style>
  <w:style w:type="character" w:customStyle="1" w:styleId="BoldandItalics">
    <w:name w:val="Bold and Italics"/>
    <w:qFormat/>
    <w:rsid w:val="00F92A88"/>
    <w:rPr>
      <w:b/>
      <w:i/>
      <w:u w:val="none"/>
    </w:rPr>
  </w:style>
  <w:style w:type="paragraph" w:styleId="BalloonText">
    <w:name w:val="Balloon Text"/>
    <w:basedOn w:val="Normal"/>
    <w:link w:val="BalloonTextChar"/>
    <w:rsid w:val="00F92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2A88"/>
    <w:pPr>
      <w:spacing w:before="0" w:after="0"/>
    </w:pPr>
  </w:style>
  <w:style w:type="paragraph" w:customStyle="1" w:styleId="BodyTextBold">
    <w:name w:val="Body Text Bold"/>
    <w:basedOn w:val="BodyText"/>
    <w:qFormat/>
    <w:rsid w:val="00F92A88"/>
    <w:rPr>
      <w:b/>
    </w:rPr>
  </w:style>
  <w:style w:type="character" w:styleId="Hyperlink">
    <w:name w:val="Hyperlink"/>
    <w:basedOn w:val="DefaultParagraphFont"/>
    <w:uiPriority w:val="99"/>
    <w:unhideWhenUsed/>
    <w:rsid w:val="00A86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902</Words>
  <Characters>5823</Characters>
  <Application>Microsoft Office Word</Application>
  <DocSecurity>0</DocSecurity>
  <Lines>171</Lines>
  <Paragraphs>112</Paragraphs>
  <ScaleCrop>false</ScaleCrop>
  <Company>Author-it Software Corporation Ltd.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ICPPRN3870 Use colour management for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