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5BB" w:rsidP="00824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ICPPRN3320 Produce complex lithographic printed product</w:t>
      </w:r>
      <w:r>
        <w:fldChar w:fldCharType="end"/>
      </w:r>
    </w:p>
    <w:p w:rsidR="008245BB" w:rsidP="008245BB">
      <w:pPr>
        <w:pStyle w:val="Version"/>
        <w:sectPr w:rsidSect="00F65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AFA" w:rsidP="00F65AFA">
      <w:pPr>
        <w:pStyle w:val="SuperHeading"/>
      </w:pPr>
      <w:r w:rsidRPr="00F65AFA">
        <w:t>ICPPRN3320 Produce complex lithographic printed product</w:t>
      </w:r>
    </w:p>
    <w:p w:rsidR="00000000" w:rsidRPr="00F65AFA" w:rsidP="00F65AFA">
      <w:pPr>
        <w:pStyle w:val="Heading1"/>
      </w:pPr>
      <w:bookmarkStart w:id="1" w:name="O_1073708"/>
      <w:bookmarkEnd w:id="1"/>
      <w:r w:rsidRPr="00F65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65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rPr>
                <w:rStyle w:val="SpecialBold"/>
              </w:rPr>
              <w:t>Comments</w:t>
            </w:r>
          </w:p>
        </w:tc>
      </w:tr>
      <w:tr w:rsidTr="00F65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This version first released with ICP Printing and Graphic Arts Training Package Version 4.0.</w:t>
            </w:r>
          </w:p>
        </w:tc>
      </w:tr>
    </w:tbl>
    <w:p w:rsidR="00000000" w:rsidRPr="00F65AFA" w:rsidP="00F65AFA">
      <w:pPr>
        <w:pStyle w:val="BodyText"/>
      </w:pPr>
    </w:p>
    <w:p w:rsidR="00000000" w:rsidRPr="00F65AFA" w:rsidP="00F65AFA">
      <w:pPr>
        <w:pStyle w:val="AllowPageBreak"/>
      </w:pPr>
    </w:p>
    <w:p w:rsidR="00000000" w:rsidRPr="00F65AFA" w:rsidP="00F65AFA">
      <w:pPr>
        <w:pStyle w:val="Heading1"/>
      </w:pPr>
      <w:bookmarkStart w:id="2" w:name="O_1073714"/>
      <w:bookmarkEnd w:id="2"/>
      <w:r w:rsidRPr="00F65AFA">
        <w:t>Application</w:t>
      </w:r>
    </w:p>
    <w:p w:rsidR="00000000" w:rsidRPr="00F65AFA" w:rsidP="008245BB">
      <w:pPr>
        <w:pStyle w:val="BodyText"/>
      </w:pPr>
      <w:r w:rsidRPr="00F65AFA">
        <w:t>This unit describes the skills and knowledge required to produc</w:t>
      </w:r>
      <w:r w:rsidRPr="00F65AFA">
        <w:t>e complex lithographic printed product, ensuring an efficient non-routine production flow that maintains product quality standards.</w:t>
      </w:r>
    </w:p>
    <w:p w:rsidR="00000000" w:rsidRPr="00F65AFA" w:rsidP="008245BB">
      <w:pPr>
        <w:pStyle w:val="BodyText"/>
      </w:pPr>
      <w:r w:rsidRPr="00F65AFA">
        <w:t>It applies to individuals who work under direct supervision and have some responsibility in ensuring production process is m</w:t>
      </w:r>
      <w:r w:rsidRPr="00F65AFA">
        <w:t>aintained by anticipating production problems and monitoring equipment and machinery.</w:t>
      </w:r>
    </w:p>
    <w:p w:rsidR="00000000" w:rsidRPr="00F65AFA" w:rsidP="008245BB">
      <w:pPr>
        <w:pStyle w:val="BodyText"/>
      </w:pPr>
      <w:r w:rsidRPr="00F65AFA">
        <w:t>No licensing, legislative or certification requirements apply to this unit at the time of publication.</w:t>
      </w:r>
    </w:p>
    <w:p w:rsidR="00000000" w:rsidRPr="00F65AFA" w:rsidP="00F65AFA">
      <w:pPr>
        <w:pStyle w:val="Heading1"/>
      </w:pPr>
      <w:bookmarkStart w:id="3" w:name="O_1073713"/>
      <w:bookmarkEnd w:id="3"/>
      <w:r w:rsidRPr="00F65AFA">
        <w:t>Unit Sector</w:t>
      </w:r>
    </w:p>
    <w:p w:rsidR="00000000" w:rsidRPr="00F65AFA" w:rsidP="008245BB">
      <w:pPr>
        <w:pStyle w:val="BodyText"/>
      </w:pPr>
      <w:r w:rsidRPr="00F65AFA">
        <w:t>Printing</w:t>
      </w:r>
    </w:p>
    <w:p w:rsidR="00000000" w:rsidRPr="00F65AFA" w:rsidP="00F65AFA">
      <w:pPr>
        <w:pStyle w:val="Heading1"/>
      </w:pPr>
      <w:bookmarkStart w:id="4" w:name="O_1073712"/>
      <w:bookmarkEnd w:id="4"/>
      <w:r w:rsidRPr="00F65AFA">
        <w:t>Elements</w:t>
      </w:r>
      <w:r w:rsidRPr="00F65AFA">
        <w:t xml:space="preserve">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rPr>
                <w:rStyle w:val="SpecialBold"/>
              </w:rPr>
              <w:t>PERFORMANCE CRITERIA</w:t>
            </w:r>
          </w:p>
        </w:tc>
      </w:tr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1. Maintain non-routine operation of delivery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1.1 Monitor and adjust delivery systems according to work health and safety (WHS) requirements</w:t>
            </w:r>
          </w:p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1.2 Add substrate to and remove substrate from the process according to job specifications</w:t>
            </w:r>
          </w:p>
        </w:tc>
      </w:tr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2. Maintain complex lithographic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2.1 Review and adju</w:t>
            </w:r>
            <w:r w:rsidRPr="00F65AFA">
              <w:t xml:space="preserve">st non-routine lithographic plate and plate cylinder condition </w:t>
            </w:r>
          </w:p>
          <w:p w:rsidR="00000000" w:rsidRPr="00F65AFA" w:rsidP="00F65AFA">
            <w:pPr>
              <w:pStyle w:val="BodyText"/>
            </w:pPr>
            <w:r w:rsidRPr="00F65AFA">
              <w:t>2.2 Review and adjust non-routine lithographic blanket and blanket cylinder condition</w:t>
            </w:r>
          </w:p>
          <w:p w:rsidR="00000000" w:rsidRPr="00F65AFA" w:rsidP="00F65AFA">
            <w:pPr>
              <w:pStyle w:val="BodyText"/>
            </w:pPr>
            <w:r w:rsidRPr="00F65AFA">
              <w:t xml:space="preserve">2.3 Review and adjust non-routine lithographic impression cylinder </w:t>
            </w:r>
            <w:r w:rsidRPr="00F65AFA">
              <w:t>condition</w:t>
            </w:r>
          </w:p>
          <w:p w:rsidR="00000000" w:rsidRPr="00F65AFA" w:rsidP="00F65AFA">
            <w:pPr>
              <w:pStyle w:val="BodyText"/>
            </w:pPr>
            <w:r w:rsidRPr="00F65AFA">
              <w:t>2.4 Check and maintain non-routine lithographic inking system</w:t>
            </w:r>
          </w:p>
          <w:p w:rsidR="00000000" w:rsidRPr="00F65AFA" w:rsidP="00F65AFA">
            <w:pPr>
              <w:pStyle w:val="BodyText"/>
            </w:pPr>
            <w:r w:rsidRPr="00F65AFA">
              <w:t xml:space="preserve">2.5 Monitor and adjust non-routine lithographic dampening system </w:t>
            </w:r>
          </w:p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2.6 Monitor and adjust set off and marking prevention, and drying systems</w:t>
            </w:r>
          </w:p>
        </w:tc>
      </w:tr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3.1 Use machine contro</w:t>
            </w:r>
            <w:r w:rsidRPr="00F65AFA">
              <w:t xml:space="preserve">ls as required </w:t>
            </w:r>
          </w:p>
          <w:p w:rsidR="00000000" w:rsidRPr="00F65AFA" w:rsidP="00F65AFA">
            <w:pPr>
              <w:pStyle w:val="BodyText"/>
            </w:pPr>
            <w:r w:rsidRPr="00F65AFA">
              <w:t xml:space="preserve">3.2 Review and verify performance using the process control system </w:t>
            </w:r>
          </w:p>
          <w:p w:rsidR="00000000" w:rsidRPr="00F65AFA" w:rsidP="00F65AFA">
            <w:pPr>
              <w:pStyle w:val="BodyText"/>
            </w:pPr>
            <w:r w:rsidRPr="00F65AFA">
              <w:t xml:space="preserve">3.3 Check and adjust ink performance, colour, register and position </w:t>
            </w:r>
          </w:p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3.4 Report process adjustments to eliminate problems according to enterprise procedures  </w:t>
            </w:r>
          </w:p>
        </w:tc>
      </w:tr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4. Identify </w:t>
            </w:r>
            <w:r w:rsidRPr="00F65AFA">
              <w:t>and rectify lithographic machine operating problem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4.1 Identify and report problems in machine operation according to enterprise procedures</w:t>
            </w:r>
          </w:p>
          <w:p w:rsidR="00000000" w:rsidRPr="00F65AFA" w:rsidP="00F65AFA">
            <w:pPr>
              <w:pStyle w:val="BodyText"/>
            </w:pPr>
            <w:r w:rsidRPr="00F65AFA">
              <w:t>4.2 Carry out adjustments or corrections according to specified procedures, and within scope of own role</w:t>
            </w:r>
          </w:p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4.3 Verify </w:t>
            </w:r>
            <w:r w:rsidRPr="00F65AFA">
              <w:t>repairs and adjustments as required prior to resumption of operations</w:t>
            </w:r>
          </w:p>
        </w:tc>
      </w:tr>
      <w:tr w:rsidTr="00F65A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5.1 Follow shutdown sequence according to manufacturer specifications and enterprise procedures</w:t>
            </w:r>
          </w:p>
          <w:p w:rsidR="00000000" w:rsidRPr="00F65AFA" w:rsidP="00F65AFA">
            <w:pPr>
              <w:pStyle w:val="BodyText"/>
            </w:pPr>
            <w:r w:rsidRPr="00F65AFA">
              <w:t>5.2 Label and store unused ink and embellishmen</w:t>
            </w:r>
            <w:r w:rsidRPr="00F65AFA">
              <w:t>t equipment according to manufacturer specifications and enterprise procedures</w:t>
            </w:r>
          </w:p>
          <w:p w:rsidR="00000000" w:rsidRPr="00F65AFA" w:rsidP="00F65AFA">
            <w:pPr>
              <w:pStyle w:val="BodyText"/>
            </w:pPr>
            <w:r w:rsidRPr="00F65AFA">
              <w:t xml:space="preserve">5.3 Remove solid and liquid waste from operating area and recycle and dispose of, as required, according to regulatory requirements and enterprise procedures </w:t>
            </w:r>
          </w:p>
          <w:p w:rsidR="00000000" w:rsidRPr="00F65AFA" w:rsidP="00F65AFA">
            <w:pPr>
              <w:pStyle w:val="BodyText"/>
            </w:pPr>
            <w:r w:rsidRPr="00F65AFA">
              <w:t>5.4 Clean and dise</w:t>
            </w:r>
            <w:r w:rsidRPr="00F65AFA">
              <w:t>ngage all required parts of machinery used in printing process according to manufacturer specifications and enterprise procedures</w:t>
            </w:r>
          </w:p>
          <w:p w:rsidR="00000000" w:rsidRPr="00F65AFA" w:rsidP="00F65AFA">
            <w:pPr>
              <w:pStyle w:val="BodyText"/>
            </w:pPr>
            <w:r w:rsidRPr="00F65AFA">
              <w:t xml:space="preserve">5.5 Complete required production records and enterprise documentation  </w:t>
            </w:r>
          </w:p>
        </w:tc>
      </w:tr>
    </w:tbl>
    <w:p w:rsidR="00000000" w:rsidRPr="00F65AFA" w:rsidP="00F65AFA">
      <w:pPr>
        <w:pStyle w:val="BodyText"/>
      </w:pPr>
    </w:p>
    <w:p w:rsidR="00000000" w:rsidRPr="00F65AFA" w:rsidP="00F65AFA">
      <w:pPr>
        <w:pStyle w:val="AllowPageBreak"/>
      </w:pPr>
    </w:p>
    <w:p w:rsidR="00000000" w:rsidRPr="00F65AFA" w:rsidP="00F65AFA">
      <w:pPr>
        <w:pStyle w:val="Heading1"/>
      </w:pPr>
      <w:bookmarkStart w:id="5" w:name="O_1073711"/>
      <w:bookmarkEnd w:id="5"/>
      <w:r w:rsidRPr="00F65AFA">
        <w:t>Foundation Skills</w:t>
      </w:r>
    </w:p>
    <w:p w:rsidR="00000000" w:rsidRPr="008245BB" w:rsidP="008245BB">
      <w:pPr>
        <w:pStyle w:val="BodyText"/>
        <w:rPr>
          <w:i/>
        </w:rPr>
      </w:pPr>
      <w:r w:rsidRPr="008245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rPr>
                <w:rStyle w:val="SpecialBold"/>
              </w:rPr>
              <w:t>Description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>Enters routine data associated with production processes and enterpr</w:t>
            </w:r>
            <w:r w:rsidRPr="00F65AFA">
              <w:t xml:space="preserve">ise procedures 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>Interprets and analyses a range of mathematical information that is used in familiar and routine tasks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ListBullet"/>
            </w:pPr>
            <w:r w:rsidRPr="00F65AFA">
              <w:t>Recognises and follows explicit and implicit protocols and meets expectations associated with own role</w:t>
            </w:r>
          </w:p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>Reco</w:t>
            </w:r>
            <w:r w:rsidRPr="00F65AFA">
              <w:t>gnises and follows all procedures for cleaning and maintenance of equipment, incorporating regulatory requirements and enterprise procedures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ListBullet"/>
            </w:pPr>
            <w:r w:rsidRPr="00F65AFA">
              <w:t xml:space="preserve">Cooperates with others as part of familiar routine activities, and contributes to </w:t>
            </w:r>
            <w:r w:rsidRPr="00F65AFA">
              <w:t>specific activities requiring joint responsibility and accountability</w:t>
            </w:r>
          </w:p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>Understands what to communicate, with whom and how, in routine work situations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 xml:space="preserve">Determines priorities and sequences steps involved in clearly defined, familiar </w:t>
            </w:r>
            <w:r w:rsidRPr="00F65AFA">
              <w:t>tasks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>Recognises and anticipates an increasing range of familiar problems, their symptoms and causes, actively looking for early warning signs and implementing contingency plans</w:t>
            </w:r>
          </w:p>
        </w:tc>
      </w:tr>
      <w:tr w:rsidTr="00F65AF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AFA">
            <w:pPr>
              <w:pStyle w:val="BodyText"/>
              <w:rPr>
                <w:lang w:val="en-NZ"/>
              </w:rPr>
            </w:pPr>
            <w:r w:rsidRPr="00F65AFA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ListBullet"/>
            </w:pPr>
            <w:r w:rsidRPr="00F65AFA">
              <w:t>Follows routine procedures for using digital t</w:t>
            </w:r>
            <w:r w:rsidRPr="00F65AFA">
              <w:t>echnology by reading data from electronic monitoring and control systems</w:t>
            </w:r>
          </w:p>
        </w:tc>
      </w:tr>
    </w:tbl>
    <w:p w:rsidR="00000000" w:rsidRPr="00F65AFA" w:rsidP="00F65AFA">
      <w:pPr>
        <w:pStyle w:val="BodyText"/>
      </w:pPr>
    </w:p>
    <w:p w:rsidR="00000000" w:rsidRPr="00F65AFA" w:rsidP="00F65AFA">
      <w:pPr>
        <w:pStyle w:val="AllowPageBreak"/>
      </w:pPr>
    </w:p>
    <w:p w:rsidR="00000000" w:rsidRPr="00F65AFA" w:rsidP="00F65AFA">
      <w:pPr>
        <w:pStyle w:val="Heading1"/>
      </w:pPr>
      <w:bookmarkStart w:id="6" w:name="O_1073710"/>
      <w:bookmarkEnd w:id="6"/>
      <w:r w:rsidRPr="00F65AFA">
        <w:t>Range of Conditions</w:t>
      </w:r>
    </w:p>
    <w:p w:rsidR="00000000" w:rsidRPr="008245BB" w:rsidP="008245BB">
      <w:pPr>
        <w:pStyle w:val="BodyText"/>
        <w:rPr>
          <w:i/>
        </w:rPr>
      </w:pPr>
      <w:r w:rsidRPr="008245BB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8245BB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8"/>
        <w:gridCol w:w="5526"/>
      </w:tblGrid>
      <w:tr w:rsidTr="00F65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Delivery systems must include either:</w:t>
            </w:r>
          </w:p>
          <w:p w:rsidR="00000000" w:rsidP="00F65AFA">
            <w:pPr>
              <w:pStyle w:val="BodyText"/>
              <w:rPr>
                <w:lang w:val="en-NZ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ListBullet"/>
            </w:pPr>
            <w:r w:rsidRPr="00F65AFA">
              <w:t>reel</w:t>
            </w:r>
          </w:p>
          <w:p w:rsidR="00000000" w:rsidRPr="00F65AFA" w:rsidP="00F65AFA">
            <w:pPr>
              <w:pStyle w:val="BodyText"/>
            </w:pPr>
            <w:r w:rsidRPr="00F65AFA">
              <w:t>or</w:t>
            </w:r>
          </w:p>
          <w:p w:rsidR="00000000" w:rsidP="00F65AFA">
            <w:pPr>
              <w:pStyle w:val="ListBullet"/>
              <w:rPr>
                <w:lang w:val="en-NZ"/>
              </w:rPr>
            </w:pPr>
            <w:r w:rsidRPr="00F65AFA">
              <w:t>sheet</w:t>
            </w:r>
          </w:p>
        </w:tc>
      </w:tr>
      <w:tr w:rsidTr="00F65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BodyText"/>
            </w:pPr>
            <w:r w:rsidRPr="00F65AFA">
              <w:t>Monitoring and adjusting must include either:</w:t>
            </w:r>
          </w:p>
          <w:p w:rsidR="00000000" w:rsidP="00F65AFA">
            <w:pPr>
              <w:pStyle w:val="BodyText"/>
              <w:rPr>
                <w:lang w:val="en-NZ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AFA" w:rsidP="00F65AFA">
            <w:pPr>
              <w:pStyle w:val="ListBullet"/>
            </w:pPr>
            <w:r w:rsidRPr="00F65AFA">
              <w:t>re</w:t>
            </w:r>
            <w:r w:rsidRPr="00F65AFA">
              <w:t>el stand and rewind sections</w:t>
            </w:r>
          </w:p>
          <w:p w:rsidR="00000000" w:rsidRPr="00F65AFA" w:rsidP="00F65AFA">
            <w:pPr>
              <w:pStyle w:val="ListBullet"/>
            </w:pPr>
            <w:r w:rsidRPr="00F65AFA">
              <w:t>web control system</w:t>
            </w:r>
          </w:p>
          <w:p w:rsidR="00000000" w:rsidRPr="00F65AFA" w:rsidP="00F65AFA">
            <w:pPr>
              <w:pStyle w:val="ListBullet"/>
            </w:pPr>
            <w:r w:rsidRPr="00F65AFA">
              <w:t>sheeting section</w:t>
            </w:r>
          </w:p>
          <w:p w:rsidR="00000000" w:rsidRPr="00F65AFA" w:rsidP="00F65AFA">
            <w:pPr>
              <w:pStyle w:val="ListBullet"/>
            </w:pPr>
            <w:r w:rsidRPr="00F65AFA">
              <w:t>set off / marking prevention systems</w:t>
            </w:r>
          </w:p>
          <w:p w:rsidR="00000000" w:rsidRPr="00F65AFA" w:rsidP="00F65AFA">
            <w:pPr>
              <w:pStyle w:val="BodyText"/>
            </w:pPr>
            <w:r w:rsidRPr="00F65AFA">
              <w:t>or</w:t>
            </w:r>
          </w:p>
          <w:p w:rsidR="00000000" w:rsidRPr="00F65AFA" w:rsidP="00F65AFA">
            <w:pPr>
              <w:pStyle w:val="ListBullet"/>
            </w:pPr>
            <w:r w:rsidRPr="00F65AFA">
              <w:t>feeder and delivery systems</w:t>
            </w:r>
          </w:p>
          <w:p w:rsidR="00000000" w:rsidRPr="00F65AFA" w:rsidP="00F65AFA">
            <w:pPr>
              <w:pStyle w:val="ListBullet"/>
            </w:pPr>
            <w:r w:rsidRPr="00F65AFA">
              <w:t>sheet pick-up and transportation system</w:t>
            </w:r>
          </w:p>
          <w:p w:rsidR="00000000" w:rsidRPr="00F65AFA" w:rsidP="00F65AFA">
            <w:pPr>
              <w:pStyle w:val="ListBullet"/>
            </w:pPr>
            <w:r w:rsidRPr="00F65AFA">
              <w:t>transfer systems</w:t>
            </w:r>
          </w:p>
          <w:p w:rsidR="00000000" w:rsidRPr="00F65AFA" w:rsidP="00F65AFA">
            <w:pPr>
              <w:pStyle w:val="ListBullet"/>
            </w:pPr>
            <w:r w:rsidRPr="00F65AFA">
              <w:t>set/ off/marking prevention system</w:t>
            </w:r>
          </w:p>
        </w:tc>
      </w:tr>
    </w:tbl>
    <w:p w:rsidR="00000000" w:rsidRPr="00F65AFA" w:rsidP="00F65AFA">
      <w:pPr>
        <w:pStyle w:val="BodyText"/>
      </w:pPr>
    </w:p>
    <w:p w:rsidR="00000000" w:rsidRPr="00F65AFA" w:rsidP="00F65AFA">
      <w:pPr>
        <w:pStyle w:val="AllowPageBreak"/>
      </w:pPr>
    </w:p>
    <w:p w:rsidR="00000000" w:rsidRPr="00F65AFA" w:rsidP="00F65AFA">
      <w:pPr>
        <w:pStyle w:val="Heading1"/>
      </w:pPr>
      <w:bookmarkStart w:id="7" w:name="O_1073709"/>
      <w:bookmarkEnd w:id="7"/>
      <w:r w:rsidRPr="00F65AFA">
        <w:t>Unit Mapping Information</w:t>
      </w:r>
    </w:p>
    <w:p w:rsidR="00000000" w:rsidRPr="00F65AFA" w:rsidP="008245BB">
      <w:pPr>
        <w:pStyle w:val="BodyText"/>
      </w:pPr>
      <w:r w:rsidRPr="00F65AFA">
        <w:t>Supersedes and is equivalent to ICPPRN332 Produce complex lithographic printed product.</w:t>
      </w:r>
    </w:p>
    <w:p w:rsidR="00000000" w:rsidRPr="00F65AFA" w:rsidP="00F65AFA">
      <w:pPr>
        <w:pStyle w:val="Heading1"/>
      </w:pPr>
      <w:bookmarkStart w:id="8" w:name="O_1073702"/>
      <w:bookmarkEnd w:id="8"/>
      <w:r w:rsidRPr="00F65AFA">
        <w:t>Links</w:t>
      </w:r>
    </w:p>
    <w:p w:rsidR="00000000" w:rsidRPr="00F65AFA" w:rsidP="008245BB">
      <w:pPr>
        <w:pStyle w:val="BodyText"/>
      </w:pPr>
      <w:r w:rsidRPr="00F65A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F300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65AFA" w:rsidP="00F65AFA"/>
    <w:sectPr w:rsidSect="00F65A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A" w:rsidRPr="008245BB" w:rsidP="00824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BB" w:rsidP="00F65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5BB" w:rsidP="00F65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5BB" w:rsidP="00F65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AFA" w:rsidRPr="008245BB" w:rsidP="00824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BB" w:rsidRPr="002D2AF8" w:rsidP="00F65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ICPPRN3320 Produce complex lithographic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245BB" w:rsidP="00F65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0E0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866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AFA"/>
  </w:style>
  <w:style w:type="character" w:customStyle="1" w:styleId="Heading1Char">
    <w:name w:val="Heading 1 Char"/>
    <w:basedOn w:val="DefaultParagraphFont"/>
    <w:link w:val="Heading1"/>
    <w:rsid w:val="00F65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A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AFA"/>
    <w:rPr>
      <w:b/>
      <w:spacing w:val="0"/>
    </w:rPr>
  </w:style>
  <w:style w:type="character" w:styleId="Emphasis">
    <w:name w:val="Emphasis"/>
    <w:basedOn w:val="DefaultParagraphFont"/>
    <w:qFormat/>
    <w:rsid w:val="00F65AFA"/>
    <w:rPr>
      <w:i/>
    </w:rPr>
  </w:style>
  <w:style w:type="paragraph" w:customStyle="1" w:styleId="SuperHeading">
    <w:name w:val="SuperHeading"/>
    <w:basedOn w:val="Normal"/>
    <w:rsid w:val="00F65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A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AFA"/>
  </w:style>
  <w:style w:type="paragraph" w:styleId="TableofFigures">
    <w:name w:val="table of figures"/>
    <w:basedOn w:val="Normal"/>
    <w:next w:val="Normal"/>
    <w:semiHidden/>
    <w:rsid w:val="00F65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A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5AFA"/>
    <w:rPr>
      <w:rFonts w:ascii="Wingdings" w:hAnsi="Wingdings"/>
    </w:rPr>
  </w:style>
  <w:style w:type="paragraph" w:customStyle="1" w:styleId="TableHeading">
    <w:name w:val="Table Heading"/>
    <w:basedOn w:val="HeadingBase"/>
    <w:rsid w:val="00F65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AFA"/>
    <w:rPr>
      <w:color w:val="0033CC"/>
      <w:u w:val="none"/>
    </w:rPr>
  </w:style>
  <w:style w:type="paragraph" w:customStyle="1" w:styleId="BodyTextRight">
    <w:name w:val="Body Text Right"/>
    <w:basedOn w:val="BodyText"/>
    <w:rsid w:val="00F65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A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AFA"/>
    <w:rPr>
      <w:sz w:val="32"/>
    </w:rPr>
  </w:style>
  <w:style w:type="paragraph" w:customStyle="1" w:styleId="HeadingProcedure">
    <w:name w:val="Heading Procedure"/>
    <w:basedOn w:val="HeadingBase"/>
    <w:next w:val="Normal"/>
    <w:rsid w:val="00F65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AFA"/>
    <w:pPr>
      <w:spacing w:before="60" w:after="60"/>
    </w:pPr>
  </w:style>
  <w:style w:type="paragraph" w:styleId="ListContinue">
    <w:name w:val="List Continue"/>
    <w:basedOn w:val="List"/>
    <w:rsid w:val="00F65AFA"/>
    <w:pPr>
      <w:ind w:firstLine="0"/>
    </w:pPr>
  </w:style>
  <w:style w:type="paragraph" w:customStyle="1" w:styleId="ListNote">
    <w:name w:val="List Note"/>
    <w:basedOn w:val="List"/>
    <w:rsid w:val="00F65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AFA"/>
    <w:rPr>
      <w:rFonts w:ascii="Courier New" w:hAnsi="Courier New"/>
    </w:rPr>
  </w:style>
  <w:style w:type="paragraph" w:customStyle="1" w:styleId="NoteBullet">
    <w:name w:val="Note Bullet"/>
    <w:basedOn w:val="Note"/>
    <w:rsid w:val="00F65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A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5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AFA"/>
    <w:rPr>
      <w:b/>
      <w:smallCaps/>
    </w:rPr>
  </w:style>
  <w:style w:type="paragraph" w:customStyle="1" w:styleId="TableListNumber">
    <w:name w:val="Table List Number"/>
    <w:basedOn w:val="ListNumber"/>
    <w:rsid w:val="00F65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AFA"/>
    <w:pPr>
      <w:numPr>
        <w:numId w:val="8"/>
      </w:numPr>
    </w:pPr>
  </w:style>
  <w:style w:type="paragraph" w:customStyle="1" w:styleId="ListAlpha2">
    <w:name w:val="List Alpha 2"/>
    <w:basedOn w:val="List2"/>
    <w:rsid w:val="00F65AFA"/>
    <w:pPr>
      <w:numPr>
        <w:numId w:val="7"/>
      </w:numPr>
    </w:pPr>
  </w:style>
  <w:style w:type="paragraph" w:styleId="List2">
    <w:name w:val="List 2"/>
    <w:basedOn w:val="BodyText"/>
    <w:rsid w:val="00F65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A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A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AFA"/>
    <w:pPr>
      <w:numPr>
        <w:numId w:val="3"/>
      </w:numPr>
    </w:pPr>
  </w:style>
  <w:style w:type="paragraph" w:styleId="ListContinue2">
    <w:name w:val="List Continue 2"/>
    <w:basedOn w:val="List2"/>
    <w:rsid w:val="00F65AFA"/>
    <w:pPr>
      <w:ind w:firstLine="0"/>
    </w:pPr>
  </w:style>
  <w:style w:type="paragraph" w:styleId="ListContinue3">
    <w:name w:val="List Continue 3"/>
    <w:basedOn w:val="List3"/>
    <w:rsid w:val="00F65AFA"/>
    <w:pPr>
      <w:ind w:left="1021" w:firstLine="0"/>
    </w:pPr>
  </w:style>
  <w:style w:type="paragraph" w:styleId="ListContinue4">
    <w:name w:val="List Continue 4"/>
    <w:basedOn w:val="List4"/>
    <w:rsid w:val="00F65AFA"/>
    <w:pPr>
      <w:ind w:firstLine="0"/>
    </w:pPr>
  </w:style>
  <w:style w:type="paragraph" w:styleId="ListContinue5">
    <w:name w:val="List Continue 5"/>
    <w:basedOn w:val="List5"/>
    <w:rsid w:val="00F65AFA"/>
    <w:pPr>
      <w:ind w:firstLine="0"/>
    </w:pPr>
  </w:style>
  <w:style w:type="paragraph" w:styleId="ListNumber3">
    <w:name w:val="List Number 3"/>
    <w:basedOn w:val="List3"/>
    <w:rsid w:val="00F65AFA"/>
    <w:pPr>
      <w:numPr>
        <w:numId w:val="4"/>
      </w:numPr>
    </w:pPr>
  </w:style>
  <w:style w:type="paragraph" w:styleId="ListNumber4">
    <w:name w:val="List Number 4"/>
    <w:basedOn w:val="List4"/>
    <w:rsid w:val="00F65AFA"/>
    <w:pPr>
      <w:numPr>
        <w:numId w:val="5"/>
      </w:numPr>
    </w:pPr>
  </w:style>
  <w:style w:type="paragraph" w:styleId="ListNumber5">
    <w:name w:val="List Number 5"/>
    <w:basedOn w:val="List5"/>
    <w:rsid w:val="00F65AFA"/>
    <w:pPr>
      <w:numPr>
        <w:numId w:val="6"/>
      </w:numPr>
    </w:pPr>
  </w:style>
  <w:style w:type="paragraph" w:styleId="BlockText">
    <w:name w:val="Block Text"/>
    <w:basedOn w:val="Normal"/>
    <w:rsid w:val="00F65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AFA"/>
    <w:rPr>
      <w:sz w:val="16"/>
      <w:vertAlign w:val="superscript"/>
    </w:rPr>
  </w:style>
  <w:style w:type="character" w:customStyle="1" w:styleId="Symbols">
    <w:name w:val="Symbols"/>
    <w:basedOn w:val="DefaultParagraphFont"/>
    <w:rsid w:val="00F65AFA"/>
    <w:rPr>
      <w:rFonts w:ascii="Symbol" w:hAnsi="Symbol"/>
    </w:rPr>
  </w:style>
  <w:style w:type="character" w:customStyle="1" w:styleId="MenuOptions">
    <w:name w:val="Menu Options"/>
    <w:basedOn w:val="DefaultParagraphFont"/>
    <w:rsid w:val="00F65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AFA"/>
    <w:rPr>
      <w:b/>
    </w:rPr>
  </w:style>
  <w:style w:type="character" w:customStyle="1" w:styleId="Underlined">
    <w:name w:val="Underlined"/>
    <w:basedOn w:val="DefaultParagraphFont"/>
    <w:rsid w:val="00F65AFA"/>
    <w:rPr>
      <w:u w:val="single"/>
    </w:rPr>
  </w:style>
  <w:style w:type="paragraph" w:customStyle="1" w:styleId="TableBodyTextRight">
    <w:name w:val="Table Body Text Right"/>
    <w:basedOn w:val="TableBodyText"/>
    <w:rsid w:val="00F65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AFA"/>
    <w:rPr>
      <w:sz w:val="18"/>
    </w:rPr>
  </w:style>
  <w:style w:type="paragraph" w:customStyle="1" w:styleId="BodySmallRight">
    <w:name w:val="Body Small Right"/>
    <w:basedOn w:val="BodyTextRight"/>
    <w:rsid w:val="00F65AFA"/>
    <w:rPr>
      <w:sz w:val="18"/>
      <w:szCs w:val="18"/>
    </w:rPr>
  </w:style>
  <w:style w:type="paragraph" w:customStyle="1" w:styleId="MarginEdition">
    <w:name w:val="Margin Edition"/>
    <w:basedOn w:val="MarginNote"/>
    <w:rsid w:val="00F65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AFA"/>
    <w:rPr>
      <w:sz w:val="2"/>
      <w:szCs w:val="2"/>
    </w:rPr>
  </w:style>
  <w:style w:type="character" w:customStyle="1" w:styleId="Small">
    <w:name w:val="Small"/>
    <w:basedOn w:val="DefaultParagraphFont"/>
    <w:rsid w:val="00F65AFA"/>
    <w:rPr>
      <w:sz w:val="16"/>
    </w:rPr>
  </w:style>
  <w:style w:type="paragraph" w:customStyle="1" w:styleId="WideTable">
    <w:name w:val="Wide Table"/>
    <w:basedOn w:val="Normal"/>
    <w:rsid w:val="00F65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AFA"/>
  </w:style>
  <w:style w:type="paragraph" w:styleId="Quote">
    <w:name w:val="Quote"/>
    <w:basedOn w:val="Heading1"/>
    <w:link w:val="QuoteChar"/>
    <w:qFormat/>
    <w:rsid w:val="00F65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AFA"/>
    <w:pPr>
      <w:pageBreakBefore/>
    </w:pPr>
  </w:style>
  <w:style w:type="paragraph" w:customStyle="1" w:styleId="Border">
    <w:name w:val="Border"/>
    <w:basedOn w:val="Normal"/>
    <w:qFormat/>
    <w:rsid w:val="00F65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AFA"/>
    <w:rPr>
      <w:u w:val="single"/>
    </w:rPr>
  </w:style>
  <w:style w:type="character" w:customStyle="1" w:styleId="BoldandItalics">
    <w:name w:val="Bold and Italics"/>
    <w:qFormat/>
    <w:rsid w:val="00F65AFA"/>
    <w:rPr>
      <w:b/>
      <w:i/>
      <w:u w:val="none"/>
    </w:rPr>
  </w:style>
  <w:style w:type="paragraph" w:styleId="BalloonText">
    <w:name w:val="Balloon Text"/>
    <w:basedOn w:val="Normal"/>
    <w:link w:val="BalloonTextChar"/>
    <w:rsid w:val="00F65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AFA"/>
    <w:pPr>
      <w:spacing w:before="0" w:after="0"/>
    </w:pPr>
  </w:style>
  <w:style w:type="paragraph" w:customStyle="1" w:styleId="BodyTextBold">
    <w:name w:val="Body Text Bold"/>
    <w:basedOn w:val="BodyText"/>
    <w:qFormat/>
    <w:rsid w:val="00F65AFA"/>
    <w:rPr>
      <w:b/>
    </w:rPr>
  </w:style>
  <w:style w:type="character" w:styleId="Hyperlink">
    <w:name w:val="Hyperlink"/>
    <w:basedOn w:val="DefaultParagraphFont"/>
    <w:uiPriority w:val="99"/>
    <w:unhideWhenUsed/>
    <w:rsid w:val="00824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4737</Characters>
  <Application>Microsoft Office Word</Application>
  <DocSecurity>0</DocSecurity>
  <Lines>163</Lines>
  <Paragraphs>99</Paragraphs>
  <ScaleCrop>false</ScaleCrop>
  <Company>Author-it Software Corporation Ltd.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ICPPRN3320 Produce complex lithographic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