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0EF" w:rsidP="00BE3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ICPPRN331 Set up for basic lithographic printing</w:t>
      </w:r>
      <w:r>
        <w:fldChar w:fldCharType="end"/>
      </w:r>
    </w:p>
    <w:p w:rsidR="00BE30EF" w:rsidP="00BE30EF">
      <w:pPr>
        <w:pStyle w:val="Version"/>
        <w:sectPr w:rsidSect="007E0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581" w:rsidP="007E0581">
      <w:pPr>
        <w:pStyle w:val="SuperHeading"/>
      </w:pPr>
      <w:r w:rsidRPr="007E0581">
        <w:t>ICPPRN331 Set up for basic lithographic printing</w:t>
      </w:r>
    </w:p>
    <w:p w:rsidR="00000000" w:rsidRPr="007E0581" w:rsidP="007E0581">
      <w:pPr>
        <w:pStyle w:val="Heading1"/>
      </w:pPr>
      <w:bookmarkStart w:id="1" w:name="O_686120"/>
      <w:bookmarkEnd w:id="1"/>
      <w:r w:rsidRPr="007E05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rPr>
                <w:rStyle w:val="SpecialBold"/>
              </w:rPr>
              <w:t>Comments</w:t>
            </w:r>
          </w:p>
        </w:tc>
      </w:tr>
      <w:tr w:rsidTr="007E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This version first released with ICP Printing and Graphic Arts Training Package Version 1.0.</w:t>
            </w:r>
          </w:p>
        </w:tc>
      </w:tr>
    </w:tbl>
    <w:p w:rsidR="00000000" w:rsidRPr="007E0581" w:rsidP="007E0581">
      <w:pPr>
        <w:pStyle w:val="BodyText"/>
      </w:pPr>
    </w:p>
    <w:p w:rsidR="00000000" w:rsidRPr="007E0581" w:rsidP="007E0581">
      <w:pPr>
        <w:pStyle w:val="AllowPageBreak"/>
      </w:pPr>
    </w:p>
    <w:p w:rsidR="00000000" w:rsidRPr="007E0581" w:rsidP="007E0581">
      <w:pPr>
        <w:pStyle w:val="Heading1"/>
      </w:pPr>
      <w:bookmarkStart w:id="2" w:name="O_686122"/>
      <w:bookmarkEnd w:id="2"/>
      <w:r w:rsidRPr="007E0581">
        <w:t>Application</w:t>
      </w:r>
    </w:p>
    <w:p w:rsidR="00000000" w:rsidRPr="007E0581" w:rsidP="00BE30EF">
      <w:pPr>
        <w:pStyle w:val="BodyText"/>
      </w:pPr>
      <w:r w:rsidRPr="007E0581">
        <w:t>This unit describes the skills and knowledge required to set up basic litho</w:t>
      </w:r>
      <w:r w:rsidRPr="007E0581">
        <w:t>graphic printing sheet-fed and web-fed machines, including small offset for routine print jobs.</w:t>
      </w:r>
    </w:p>
    <w:p w:rsidR="00000000" w:rsidRPr="007E0581" w:rsidP="00BE30EF">
      <w:pPr>
        <w:pStyle w:val="BodyText"/>
      </w:pPr>
      <w:r w:rsidRPr="007E0581">
        <w:t xml:space="preserve">It applies to individuals working under direct supervision who prepare material, monitor and run equipment and machinery, and maintain the production process. </w:t>
      </w:r>
    </w:p>
    <w:p w:rsidR="00000000" w:rsidRPr="007E0581" w:rsidP="00BE30EF">
      <w:pPr>
        <w:pStyle w:val="BodyText"/>
      </w:pPr>
      <w:r w:rsidRPr="007E0581">
        <w:t>No licensing, legislative or certification requirements apply to this unit at the time of publication.</w:t>
      </w:r>
    </w:p>
    <w:p w:rsidR="00000000" w:rsidRPr="007E0581" w:rsidP="007E0581">
      <w:pPr>
        <w:pStyle w:val="Heading1"/>
      </w:pPr>
      <w:bookmarkStart w:id="3" w:name="O_686126"/>
      <w:bookmarkEnd w:id="3"/>
      <w:r w:rsidRPr="007E0581">
        <w:t>Unit Sector</w:t>
      </w:r>
    </w:p>
    <w:p w:rsidR="00000000" w:rsidRPr="007E0581" w:rsidP="00BE30EF">
      <w:pPr>
        <w:pStyle w:val="BodyText"/>
      </w:pPr>
      <w:r w:rsidRPr="007E0581">
        <w:t>Printing</w:t>
      </w:r>
    </w:p>
    <w:p w:rsidR="00000000" w:rsidRPr="007E0581" w:rsidP="007E0581">
      <w:pPr>
        <w:pStyle w:val="Heading1"/>
      </w:pPr>
      <w:bookmarkStart w:id="4" w:name="O_686128"/>
      <w:bookmarkEnd w:id="4"/>
      <w:r w:rsidRPr="007E05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rPr>
                <w:rStyle w:val="SpecialBold"/>
              </w:rPr>
              <w:t>PERFORMANCE CRITERIA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1.1 Job requirements are read and interpreted from job documentation or production cont</w:t>
            </w:r>
            <w:r w:rsidRPr="007E0581">
              <w:t>rol system</w:t>
            </w:r>
          </w:p>
          <w:p w:rsidR="00000000" w:rsidRPr="007E0581" w:rsidP="007E0581">
            <w:pPr>
              <w:pStyle w:val="BodyText"/>
            </w:pPr>
            <w:r w:rsidRPr="007E0581">
              <w:t>1.2 Standard set-up is carried out correctly in minimum time with minimum wastage</w:t>
            </w:r>
          </w:p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1.3 Availability of all job-related components are checked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2.1 Delivery systems are set up and adjusted according to job specifications</w:t>
            </w:r>
          </w:p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 xml:space="preserve">2.2 Substrate is added to and removed from the process according </w:t>
            </w:r>
            <w:r w:rsidRPr="007E0581">
              <w:t>to job specifications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3. Select and prepare inks and additives (basic)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3.1 Inks, dyes or additives are checked and appropriate action is taken for end-user requirements</w:t>
            </w:r>
          </w:p>
          <w:p w:rsidR="00000000" w:rsidRPr="007E0581" w:rsidP="007E0581">
            <w:pPr>
              <w:pStyle w:val="BodyText"/>
            </w:pPr>
            <w:r w:rsidRPr="007E0581">
              <w:t>3.2 Quality and suit</w:t>
            </w:r>
            <w:r w:rsidRPr="007E0581">
              <w:t>ability of inks, dyes or additives are selected according to job specifications and end-user requirements</w:t>
            </w:r>
          </w:p>
          <w:p w:rsidR="00000000" w:rsidRPr="007E0581" w:rsidP="007E0581">
            <w:pPr>
              <w:pStyle w:val="BodyText"/>
            </w:pPr>
            <w:r w:rsidRPr="007E0581">
              <w:t>3.3 Inks, dyes and additives are prepared according to work health and safety (WHS) requirements, and manufacturer’s/supplier’s instructions with suit</w:t>
            </w:r>
            <w:r w:rsidRPr="007E0581">
              <w:t>able precautions taken to minimise waste</w:t>
            </w:r>
          </w:p>
          <w:p w:rsidR="00000000" w:rsidRPr="007E0581" w:rsidP="007E0581">
            <w:pPr>
              <w:pStyle w:val="BodyText"/>
            </w:pPr>
            <w:r w:rsidRPr="007E0581">
              <w:t>3.4 Correct colour and weight/volume of ink are mixed and prepared to match requirements of the printing process and job specifications</w:t>
            </w:r>
          </w:p>
          <w:p w:rsidR="00000000" w:rsidRPr="007E0581" w:rsidP="007E0581">
            <w:pPr>
              <w:pStyle w:val="BodyText"/>
            </w:pPr>
            <w:r w:rsidRPr="007E0581">
              <w:t>3.5 Formulation of ink, colour match and approved colour are appropriately reco</w:t>
            </w:r>
            <w:r w:rsidRPr="007E0581">
              <w:t>rded</w:t>
            </w:r>
          </w:p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3.6 Inks, dyes and additives are appropriately labelled, handled and stored according to manufacturer’s/supplier’s instructions to prevent damage and hazards to personnel and prolong shelf life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4. Set up machine for basic offset lithographic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4.1 Plate cylinder is set up and adjusted and lithographic plates are selected and installed according to job specifications</w:t>
            </w:r>
          </w:p>
          <w:p w:rsidR="00000000" w:rsidRPr="007E0581" w:rsidP="007E0581">
            <w:pPr>
              <w:pStyle w:val="BodyText"/>
            </w:pPr>
            <w:r w:rsidRPr="007E0581">
              <w:t>4.2 Blanket and blanket cylinder are set up and adjusted according to job specifications</w:t>
            </w:r>
          </w:p>
          <w:p w:rsidR="00000000" w:rsidRPr="007E0581" w:rsidP="007E0581">
            <w:pPr>
              <w:pStyle w:val="BodyText"/>
            </w:pPr>
            <w:r w:rsidRPr="007E0581">
              <w:t>4.3 Impression cylinder is set up and adj</w:t>
            </w:r>
            <w:r w:rsidRPr="007E0581">
              <w:t>usted according to job specifications</w:t>
            </w:r>
          </w:p>
          <w:p w:rsidR="00000000" w:rsidRPr="007E0581" w:rsidP="007E0581">
            <w:pPr>
              <w:pStyle w:val="BodyText"/>
            </w:pPr>
            <w:r w:rsidRPr="007E0581">
              <w:t>4.4 Inking system is set up and adjusted according to the lithographic process and job specifications</w:t>
            </w:r>
          </w:p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4.5 Dampening system is set up and adjusted according to job specifications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5. Conduct ok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5.1 Material to</w:t>
            </w:r>
            <w:r w:rsidRPr="007E0581">
              <w:t xml:space="preserve"> be used for proof ok sheet/section is organised correctly</w:t>
            </w:r>
          </w:p>
          <w:p w:rsidR="00000000" w:rsidRPr="007E0581" w:rsidP="007E0581">
            <w:pPr>
              <w:pStyle w:val="BodyText"/>
            </w:pPr>
            <w:r w:rsidRPr="007E0581">
              <w:t>5.2 Machine is operated according to manufacturer’s and enterprise procedures to produce a specified proof ok/section</w:t>
            </w:r>
          </w:p>
          <w:p w:rsidR="00000000" w:rsidRPr="007E0581" w:rsidP="007E0581">
            <w:pPr>
              <w:pStyle w:val="BodyText"/>
            </w:pPr>
            <w:r w:rsidRPr="007E0581">
              <w:t>5.3 Ok/section is visually inspected and/or tested or laboratory testing organi</w:t>
            </w:r>
            <w:r w:rsidRPr="007E0581">
              <w:t>sed according to enterprise procedures</w:t>
            </w:r>
          </w:p>
          <w:p w:rsidR="00000000" w:rsidRPr="007E0581" w:rsidP="007E0581">
            <w:pPr>
              <w:pStyle w:val="BodyText"/>
            </w:pPr>
            <w:r w:rsidRPr="007E0581">
              <w:t>5.4 Production does not commence without client OK or authority where appropriate</w:t>
            </w:r>
          </w:p>
          <w:p w:rsidR="00000000" w:rsidRPr="007E0581" w:rsidP="007E0581">
            <w:pPr>
              <w:pStyle w:val="BodyText"/>
            </w:pPr>
            <w:r w:rsidRPr="007E0581">
              <w:t>5.5 If necessary, results are interpreted and adjustment are carried out according to product and machine specifications</w:t>
            </w:r>
          </w:p>
        </w:tc>
      </w:tr>
    </w:tbl>
    <w:p w:rsidR="00000000" w:rsidRPr="007E0581" w:rsidP="007E0581">
      <w:pPr>
        <w:pStyle w:val="BodyText"/>
      </w:pPr>
    </w:p>
    <w:p w:rsidR="00000000" w:rsidRPr="007E0581" w:rsidP="007E0581">
      <w:pPr>
        <w:pStyle w:val="AllowPageBreak"/>
      </w:pPr>
    </w:p>
    <w:p w:rsidR="00000000" w:rsidRPr="007E0581" w:rsidP="007E0581">
      <w:pPr>
        <w:pStyle w:val="Heading1"/>
      </w:pPr>
      <w:bookmarkStart w:id="5" w:name="O_686129"/>
      <w:bookmarkEnd w:id="5"/>
      <w:r w:rsidRPr="007E0581">
        <w:t>Foundation Skills</w:t>
      </w:r>
    </w:p>
    <w:p w:rsidR="00000000" w:rsidRPr="00BE30EF" w:rsidP="00BE30EF">
      <w:pPr>
        <w:pStyle w:val="BodyText"/>
        <w:rPr>
          <w:i/>
        </w:rPr>
      </w:pPr>
      <w:r w:rsidRPr="00BE30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rPr>
                <w:rStyle w:val="SpecialBold"/>
              </w:rPr>
              <w:t>Description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1.1, 3.1, 3.3, 3.4, 3.</w:t>
            </w:r>
            <w:r w:rsidRPr="007E0581">
              <w:t>6, 4.1-4.5,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Recognises and interprets text to establish job requirements from information contained within relevant procedures and specifications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3.5, 5.4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 xml:space="preserve">Enters routine data associated with production processes and enterprise procedures 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4.1-4.5,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Participates effectively in spoken interactions by using strategies to confirm, clarify or repair understanding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Interprets and analyses a range of mathematical information used in familiar and routine tas</w:t>
            </w:r>
            <w:r w:rsidRPr="007E0581">
              <w:t>ks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1.1, 1.2, 3.1-3.4, 3.6, 4.1-4.5, 5.2-5.5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ListBullet"/>
            </w:pPr>
            <w:r w:rsidRPr="007E0581">
              <w:t>Recognises and follows explicit and implicit protocols and meets expectations associated with own role</w:t>
            </w:r>
          </w:p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Complies with WHS, legislative requirements and follows organisational p</w:t>
            </w:r>
            <w:r w:rsidRPr="007E0581">
              <w:t>olicies and procedures relevant to own role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3.1, 3.3, 3.4, 3.6, 4.1-4.5,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ListBullet"/>
            </w:pPr>
            <w:r w:rsidRPr="007E0581">
              <w:t>Cooperates with others as part of familiar routine activities, and contributes to specific activities requiring joint responsibility and accountability</w:t>
            </w:r>
          </w:p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Understands what to communicate, with whom and how, in routine work situations</w:t>
            </w:r>
          </w:p>
        </w:tc>
      </w:tr>
      <w:tr w:rsidTr="007E0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1.2, 1.3, 3.1-3.4, 3.6, 4.1-4.5, 5.1, 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ListBullet"/>
            </w:pPr>
            <w:r w:rsidRPr="007E0581">
              <w:t>Takes responsibility for planning and organising own workload, identifying ways of sequencing and combining el</w:t>
            </w:r>
            <w:r w:rsidRPr="007E0581">
              <w:t xml:space="preserve">ements for greater efficiency </w:t>
            </w:r>
          </w:p>
          <w:p w:rsidR="00000000" w:rsidRPr="007E0581" w:rsidP="007E0581">
            <w:pPr>
              <w:pStyle w:val="ListBullet"/>
            </w:pPr>
            <w:r w:rsidRPr="007E0581">
              <w:t>Plans, identifies and assembles resources required to complete tasks</w:t>
            </w:r>
          </w:p>
          <w:p w:rsidR="00000000" w:rsidRPr="007E0581" w:rsidP="007E0581">
            <w:pPr>
              <w:pStyle w:val="ListBullet"/>
            </w:pPr>
            <w:r w:rsidRPr="007E0581">
              <w:t>Responds to predictable problems and implements standard or logical solutions</w:t>
            </w:r>
          </w:p>
          <w:p w:rsidR="00000000" w:rsidRPr="007E0581" w:rsidP="007E0581">
            <w:pPr>
              <w:pStyle w:val="ListBullet"/>
            </w:pPr>
            <w:r w:rsidRPr="007E0581">
              <w:t>Follows routine procedures for using digital technology by reading data from e</w:t>
            </w:r>
            <w:r w:rsidRPr="007E0581">
              <w:t>lectronic monitoring and control systems</w:t>
            </w:r>
          </w:p>
        </w:tc>
      </w:tr>
    </w:tbl>
    <w:p w:rsidR="00000000" w:rsidRPr="007E0581" w:rsidP="007E0581">
      <w:pPr>
        <w:pStyle w:val="BodyText"/>
      </w:pPr>
    </w:p>
    <w:p w:rsidR="00000000" w:rsidRPr="007E0581" w:rsidP="007E0581">
      <w:pPr>
        <w:pStyle w:val="AllowPageBreak"/>
      </w:pPr>
    </w:p>
    <w:p w:rsidR="00000000" w:rsidRPr="007E0581" w:rsidP="007E0581">
      <w:pPr>
        <w:pStyle w:val="Heading1"/>
      </w:pPr>
      <w:bookmarkStart w:id="6" w:name="O_686131"/>
      <w:bookmarkEnd w:id="6"/>
      <w:r w:rsidRPr="007E0581">
        <w:t>Range of Conditions</w:t>
      </w:r>
    </w:p>
    <w:p w:rsidR="00000000" w:rsidRPr="00BE30EF" w:rsidP="00BE30EF">
      <w:pPr>
        <w:pStyle w:val="BodyText"/>
        <w:rPr>
          <w:i/>
        </w:rPr>
      </w:pPr>
      <w:r w:rsidRPr="00BE30EF">
        <w:rPr>
          <w:rStyle w:val="Emphasis"/>
        </w:rPr>
        <w:t xml:space="preserve">This section specifies different work environments and conditions that may affect performance. Essential operating conditions that may </w:t>
      </w:r>
      <w:r w:rsidRPr="00BE30EF">
        <w:rPr>
          <w:rStyle w:val="Emphasis"/>
        </w:rPr>
        <w:t xml:space="preserve">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2"/>
        <w:gridCol w:w="5534"/>
      </w:tblGrid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Delivery systems MUST include EITHER: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ListBullet"/>
            </w:pPr>
            <w:r w:rsidRPr="007E0581">
              <w:t xml:space="preserve">reel </w:t>
            </w:r>
          </w:p>
          <w:p w:rsidR="00000000" w:rsidRPr="007E0581" w:rsidP="007E0581">
            <w:pPr>
              <w:pStyle w:val="BodyText"/>
            </w:pPr>
            <w:r w:rsidRPr="007E0581">
              <w:t>OR</w:t>
            </w:r>
          </w:p>
          <w:p w:rsidR="00000000" w:rsidP="007E0581">
            <w:pPr>
              <w:pStyle w:val="ListBullet"/>
              <w:rPr>
                <w:lang w:val="en-NZ"/>
              </w:rPr>
            </w:pPr>
            <w:r w:rsidRPr="007E0581">
              <w:t>sheet</w:t>
            </w:r>
          </w:p>
        </w:tc>
      </w:tr>
      <w:tr w:rsidTr="007E05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Setting up and adjusting MUST include EITHER:</w:t>
            </w:r>
          </w:p>
          <w:p w:rsidR="00000000" w:rsidP="007E0581">
            <w:pPr>
              <w:pStyle w:val="BodyText"/>
              <w:rPr>
                <w:lang w:val="en-NZ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ListBullet"/>
            </w:pPr>
            <w:r w:rsidRPr="007E0581">
              <w:t>unwind and rewind reels</w:t>
            </w:r>
          </w:p>
          <w:p w:rsidR="00000000" w:rsidRPr="007E0581" w:rsidP="007E0581">
            <w:pPr>
              <w:pStyle w:val="ListBullet"/>
            </w:pPr>
            <w:r w:rsidRPr="007E0581">
              <w:t>webbing procedures and web control systems</w:t>
            </w:r>
          </w:p>
          <w:p w:rsidR="00000000" w:rsidRPr="007E0581" w:rsidP="007E0581">
            <w:pPr>
              <w:pStyle w:val="ListBullet"/>
            </w:pPr>
            <w:r w:rsidRPr="007E0581">
              <w:t>splicing reels</w:t>
            </w:r>
          </w:p>
          <w:p w:rsidR="00000000" w:rsidRPr="007E0581" w:rsidP="007E0581">
            <w:pPr>
              <w:pStyle w:val="ListBullet"/>
            </w:pPr>
            <w:r w:rsidRPr="007E0581">
              <w:t xml:space="preserve">folder and sheeter </w:t>
            </w:r>
          </w:p>
          <w:p w:rsidR="00000000" w:rsidRPr="007E0581" w:rsidP="007E0581">
            <w:pPr>
              <w:pStyle w:val="BodyText"/>
            </w:pPr>
            <w:r w:rsidRPr="007E0581">
              <w:t>OR</w:t>
            </w:r>
          </w:p>
          <w:p w:rsidR="00000000" w:rsidRPr="007E0581" w:rsidP="007E0581">
            <w:pPr>
              <w:pStyle w:val="ListBullet"/>
            </w:pPr>
            <w:r w:rsidRPr="007E0581">
              <w:t>feeder and delivery</w:t>
            </w:r>
          </w:p>
          <w:p w:rsidR="00000000" w:rsidRPr="007E0581" w:rsidP="007E0581">
            <w:pPr>
              <w:pStyle w:val="ListBullet"/>
            </w:pPr>
            <w:r w:rsidRPr="007E0581">
              <w:t>registration systems</w:t>
            </w:r>
          </w:p>
          <w:p w:rsidR="00000000" w:rsidRPr="007E0581" w:rsidP="007E0581">
            <w:pPr>
              <w:pStyle w:val="ListBullet"/>
            </w:pPr>
            <w:r w:rsidRPr="007E0581">
              <w:t>sheet pick-up and transportation, control and transfer systems</w:t>
            </w:r>
          </w:p>
        </w:tc>
      </w:tr>
    </w:tbl>
    <w:p w:rsidR="00000000" w:rsidRPr="007E0581" w:rsidP="007E0581">
      <w:pPr>
        <w:pStyle w:val="BodyText"/>
      </w:pPr>
    </w:p>
    <w:p w:rsidR="00000000" w:rsidRPr="007E0581" w:rsidP="007E0581">
      <w:pPr>
        <w:pStyle w:val="AllowPageBreak"/>
      </w:pPr>
    </w:p>
    <w:p w:rsidR="00000000" w:rsidRPr="007E0581" w:rsidP="007E0581">
      <w:pPr>
        <w:pStyle w:val="Heading1"/>
      </w:pPr>
      <w:bookmarkStart w:id="7" w:name="O_686132"/>
      <w:bookmarkEnd w:id="7"/>
      <w:r w:rsidRPr="007E05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E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C</w:t>
            </w:r>
            <w:r w:rsidRPr="007E0581">
              <w:rPr>
                <w:rStyle w:val="SpecialBold"/>
              </w:rPr>
              <w:t xml:space="preserve">ode and title </w:t>
            </w:r>
          </w:p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Code and title</w:t>
            </w:r>
          </w:p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rPr>
                <w:rStyle w:val="SpecialBold"/>
              </w:rPr>
              <w:t>Equivalence status</w:t>
            </w:r>
          </w:p>
        </w:tc>
      </w:tr>
      <w:tr w:rsidTr="007E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ICPPRN331 Set up for basic lithographic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ICPPR331C Set up for basic lithographic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81">
            <w:pPr>
              <w:pStyle w:val="BodyText"/>
              <w:rPr>
                <w:lang w:val="en-NZ"/>
              </w:rPr>
            </w:pPr>
            <w:r w:rsidRPr="007E058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81" w:rsidP="007E0581">
            <w:pPr>
              <w:pStyle w:val="BodyText"/>
            </w:pPr>
            <w:r w:rsidRPr="007E0581">
              <w:t>Equivalent unit</w:t>
            </w:r>
          </w:p>
        </w:tc>
      </w:tr>
    </w:tbl>
    <w:p w:rsidR="00000000" w:rsidRPr="007E0581" w:rsidP="007E0581">
      <w:pPr>
        <w:pStyle w:val="BodyText"/>
      </w:pPr>
    </w:p>
    <w:p w:rsidR="00000000" w:rsidRPr="007E0581" w:rsidP="007E0581">
      <w:pPr>
        <w:pStyle w:val="AllowPageBreak"/>
      </w:pPr>
    </w:p>
    <w:p w:rsidR="00000000" w:rsidRPr="007E0581" w:rsidP="007E0581">
      <w:pPr>
        <w:pStyle w:val="Heading1"/>
      </w:pPr>
      <w:bookmarkStart w:id="8" w:name="O_686142"/>
      <w:bookmarkEnd w:id="8"/>
      <w:r w:rsidRPr="007E0581">
        <w:t>Links</w:t>
      </w:r>
    </w:p>
    <w:p w:rsidR="00000000" w:rsidRPr="007E0581" w:rsidP="00BE30EF">
      <w:pPr>
        <w:pStyle w:val="BodyText"/>
      </w:pPr>
      <w:r w:rsidRPr="007E05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C3CC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E0581" w:rsidP="007E0581"/>
    <w:sectPr w:rsidSect="007E05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81" w:rsidRPr="00BE30EF" w:rsidP="00BE3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EF" w:rsidP="007E0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0EF" w:rsidP="007E0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30EF" w:rsidP="007E0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581" w:rsidRPr="00BE30EF" w:rsidP="00BE3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EF" w:rsidRPr="002D2AF8" w:rsidP="007E0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ICPPRN331 Set up for basic lithographic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E30EF" w:rsidP="007E0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064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C4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581"/>
  </w:style>
  <w:style w:type="character" w:customStyle="1" w:styleId="Heading1Char">
    <w:name w:val="Heading 1 Char"/>
    <w:basedOn w:val="DefaultParagraphFont"/>
    <w:link w:val="Heading1"/>
    <w:rsid w:val="007E0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5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581"/>
    <w:rPr>
      <w:b/>
      <w:spacing w:val="0"/>
    </w:rPr>
  </w:style>
  <w:style w:type="character" w:styleId="Emphasis">
    <w:name w:val="Emphasis"/>
    <w:basedOn w:val="DefaultParagraphFont"/>
    <w:qFormat/>
    <w:rsid w:val="007E0581"/>
    <w:rPr>
      <w:i/>
    </w:rPr>
  </w:style>
  <w:style w:type="paragraph" w:customStyle="1" w:styleId="SuperHeading">
    <w:name w:val="SuperHeading"/>
    <w:basedOn w:val="Normal"/>
    <w:rsid w:val="007E0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5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5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581"/>
  </w:style>
  <w:style w:type="paragraph" w:styleId="TableofFigures">
    <w:name w:val="table of figures"/>
    <w:basedOn w:val="Normal"/>
    <w:next w:val="Normal"/>
    <w:semiHidden/>
    <w:rsid w:val="007E0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581"/>
    <w:pPr>
      <w:numPr>
        <w:numId w:val="10"/>
      </w:numPr>
    </w:pPr>
  </w:style>
  <w:style w:type="character" w:customStyle="1" w:styleId="WingdingSymbols">
    <w:name w:val="Wingding Symbols"/>
    <w:rsid w:val="007E0581"/>
    <w:rPr>
      <w:rFonts w:ascii="Wingdings" w:hAnsi="Wingdings"/>
    </w:rPr>
  </w:style>
  <w:style w:type="paragraph" w:customStyle="1" w:styleId="TableHeading">
    <w:name w:val="Table Heading"/>
    <w:basedOn w:val="HeadingBase"/>
    <w:rsid w:val="007E0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581"/>
    <w:rPr>
      <w:color w:val="0033CC"/>
      <w:u w:val="none"/>
    </w:rPr>
  </w:style>
  <w:style w:type="paragraph" w:customStyle="1" w:styleId="BodyTextRight">
    <w:name w:val="Body Text Right"/>
    <w:basedOn w:val="BodyText"/>
    <w:rsid w:val="007E0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5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581"/>
    <w:rPr>
      <w:sz w:val="32"/>
    </w:rPr>
  </w:style>
  <w:style w:type="paragraph" w:customStyle="1" w:styleId="HeadingProcedure">
    <w:name w:val="Heading Procedure"/>
    <w:basedOn w:val="HeadingBase"/>
    <w:next w:val="Normal"/>
    <w:rsid w:val="007E0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581"/>
    <w:pPr>
      <w:spacing w:before="60" w:after="60"/>
    </w:pPr>
  </w:style>
  <w:style w:type="paragraph" w:styleId="ListContinue">
    <w:name w:val="List Continue"/>
    <w:basedOn w:val="List"/>
    <w:rsid w:val="007E0581"/>
    <w:pPr>
      <w:ind w:firstLine="0"/>
    </w:pPr>
  </w:style>
  <w:style w:type="paragraph" w:customStyle="1" w:styleId="ListNote">
    <w:name w:val="List Note"/>
    <w:basedOn w:val="List"/>
    <w:rsid w:val="007E0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581"/>
    <w:rPr>
      <w:rFonts w:ascii="Courier New" w:hAnsi="Courier New"/>
    </w:rPr>
  </w:style>
  <w:style w:type="paragraph" w:customStyle="1" w:styleId="NoteBullet">
    <w:name w:val="Note Bullet"/>
    <w:basedOn w:val="Note"/>
    <w:rsid w:val="007E0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581"/>
    <w:rPr>
      <w:b/>
      <w:smallCaps/>
    </w:rPr>
  </w:style>
  <w:style w:type="paragraph" w:customStyle="1" w:styleId="TableListNumber">
    <w:name w:val="Table List Number"/>
    <w:basedOn w:val="ListNumber"/>
    <w:rsid w:val="007E0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581"/>
    <w:pPr>
      <w:numPr>
        <w:numId w:val="8"/>
      </w:numPr>
    </w:pPr>
  </w:style>
  <w:style w:type="paragraph" w:customStyle="1" w:styleId="ListAlpha2">
    <w:name w:val="List Alpha 2"/>
    <w:basedOn w:val="List2"/>
    <w:rsid w:val="007E0581"/>
    <w:pPr>
      <w:numPr>
        <w:numId w:val="7"/>
      </w:numPr>
    </w:pPr>
  </w:style>
  <w:style w:type="paragraph" w:styleId="List2">
    <w:name w:val="List 2"/>
    <w:basedOn w:val="BodyText"/>
    <w:rsid w:val="007E0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5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581"/>
    <w:pPr>
      <w:numPr>
        <w:numId w:val="3"/>
      </w:numPr>
    </w:pPr>
  </w:style>
  <w:style w:type="paragraph" w:styleId="ListContinue2">
    <w:name w:val="List Continue 2"/>
    <w:basedOn w:val="List2"/>
    <w:rsid w:val="007E0581"/>
    <w:pPr>
      <w:ind w:firstLine="0"/>
    </w:pPr>
  </w:style>
  <w:style w:type="paragraph" w:styleId="ListContinue3">
    <w:name w:val="List Continue 3"/>
    <w:basedOn w:val="List3"/>
    <w:rsid w:val="007E0581"/>
    <w:pPr>
      <w:ind w:left="1021" w:firstLine="0"/>
    </w:pPr>
  </w:style>
  <w:style w:type="paragraph" w:styleId="ListContinue4">
    <w:name w:val="List Continue 4"/>
    <w:basedOn w:val="List4"/>
    <w:rsid w:val="007E0581"/>
    <w:pPr>
      <w:ind w:firstLine="0"/>
    </w:pPr>
  </w:style>
  <w:style w:type="paragraph" w:styleId="ListContinue5">
    <w:name w:val="List Continue 5"/>
    <w:basedOn w:val="List5"/>
    <w:rsid w:val="007E0581"/>
    <w:pPr>
      <w:ind w:firstLine="0"/>
    </w:pPr>
  </w:style>
  <w:style w:type="paragraph" w:styleId="ListNumber3">
    <w:name w:val="List Number 3"/>
    <w:basedOn w:val="List3"/>
    <w:rsid w:val="007E0581"/>
    <w:pPr>
      <w:numPr>
        <w:numId w:val="4"/>
      </w:numPr>
    </w:pPr>
  </w:style>
  <w:style w:type="paragraph" w:styleId="ListNumber4">
    <w:name w:val="List Number 4"/>
    <w:basedOn w:val="List4"/>
    <w:rsid w:val="007E0581"/>
    <w:pPr>
      <w:numPr>
        <w:numId w:val="5"/>
      </w:numPr>
    </w:pPr>
  </w:style>
  <w:style w:type="paragraph" w:styleId="ListNumber5">
    <w:name w:val="List Number 5"/>
    <w:basedOn w:val="List5"/>
    <w:rsid w:val="007E0581"/>
    <w:pPr>
      <w:numPr>
        <w:numId w:val="6"/>
      </w:numPr>
    </w:pPr>
  </w:style>
  <w:style w:type="paragraph" w:styleId="BlockText">
    <w:name w:val="Block Text"/>
    <w:basedOn w:val="Normal"/>
    <w:rsid w:val="007E0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581"/>
    <w:rPr>
      <w:sz w:val="16"/>
      <w:vertAlign w:val="superscript"/>
    </w:rPr>
  </w:style>
  <w:style w:type="character" w:customStyle="1" w:styleId="Symbols">
    <w:name w:val="Symbols"/>
    <w:basedOn w:val="DefaultParagraphFont"/>
    <w:rsid w:val="007E0581"/>
    <w:rPr>
      <w:rFonts w:ascii="Symbol" w:hAnsi="Symbol"/>
    </w:rPr>
  </w:style>
  <w:style w:type="character" w:customStyle="1" w:styleId="MenuOptions">
    <w:name w:val="Menu Options"/>
    <w:basedOn w:val="DefaultParagraphFont"/>
    <w:rsid w:val="007E0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581"/>
    <w:rPr>
      <w:b/>
    </w:rPr>
  </w:style>
  <w:style w:type="character" w:customStyle="1" w:styleId="Underlined">
    <w:name w:val="Underlined"/>
    <w:basedOn w:val="DefaultParagraphFont"/>
    <w:rsid w:val="007E0581"/>
    <w:rPr>
      <w:u w:val="single"/>
    </w:rPr>
  </w:style>
  <w:style w:type="paragraph" w:customStyle="1" w:styleId="TableBodyTextRight">
    <w:name w:val="Table Body Text Right"/>
    <w:basedOn w:val="TableBodyText"/>
    <w:rsid w:val="007E0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581"/>
    <w:rPr>
      <w:sz w:val="18"/>
    </w:rPr>
  </w:style>
  <w:style w:type="paragraph" w:customStyle="1" w:styleId="BodySmallRight">
    <w:name w:val="Body Small Right"/>
    <w:basedOn w:val="BodyTextRight"/>
    <w:rsid w:val="007E0581"/>
    <w:rPr>
      <w:sz w:val="18"/>
      <w:szCs w:val="18"/>
    </w:rPr>
  </w:style>
  <w:style w:type="paragraph" w:customStyle="1" w:styleId="MarginEdition">
    <w:name w:val="Margin Edition"/>
    <w:basedOn w:val="MarginNote"/>
    <w:rsid w:val="007E0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581"/>
    <w:rPr>
      <w:sz w:val="2"/>
      <w:szCs w:val="2"/>
    </w:rPr>
  </w:style>
  <w:style w:type="character" w:customStyle="1" w:styleId="Small">
    <w:name w:val="Small"/>
    <w:basedOn w:val="DefaultParagraphFont"/>
    <w:rsid w:val="007E0581"/>
    <w:rPr>
      <w:sz w:val="16"/>
    </w:rPr>
  </w:style>
  <w:style w:type="paragraph" w:customStyle="1" w:styleId="WideTable">
    <w:name w:val="Wide Table"/>
    <w:basedOn w:val="Normal"/>
    <w:rsid w:val="007E0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581"/>
  </w:style>
  <w:style w:type="paragraph" w:styleId="Quote">
    <w:name w:val="Quote"/>
    <w:basedOn w:val="Heading1"/>
    <w:link w:val="QuoteChar"/>
    <w:qFormat/>
    <w:rsid w:val="007E0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581"/>
    <w:pPr>
      <w:pageBreakBefore/>
    </w:pPr>
  </w:style>
  <w:style w:type="paragraph" w:customStyle="1" w:styleId="Border">
    <w:name w:val="Border"/>
    <w:basedOn w:val="Normal"/>
    <w:qFormat/>
    <w:rsid w:val="007E0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581"/>
    <w:rPr>
      <w:u w:val="single"/>
    </w:rPr>
  </w:style>
  <w:style w:type="character" w:customStyle="1" w:styleId="BoldandItalics">
    <w:name w:val="Bold and Italics"/>
    <w:qFormat/>
    <w:rsid w:val="007E0581"/>
    <w:rPr>
      <w:b/>
      <w:i/>
      <w:u w:val="none"/>
    </w:rPr>
  </w:style>
  <w:style w:type="paragraph" w:styleId="BalloonText">
    <w:name w:val="Balloon Text"/>
    <w:basedOn w:val="Normal"/>
    <w:link w:val="BalloonTextChar"/>
    <w:rsid w:val="007E0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5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3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5508</Characters>
  <Application>Microsoft Office Word</Application>
  <DocSecurity>0</DocSecurity>
  <Lines>204</Lines>
  <Paragraphs>122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ICPPRN331 Set up for basic lithographic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2018-12-10T06:21:00Z</dcterms:created>
  <dcterms:modified xsi:type="dcterms:W3CDTF">2018-12-10T06:22:00Z</dcterms:modified>
</cp:coreProperties>
</file>