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BEC" w:rsidP="00113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ICPPRN3210 Set up for basic gravure printing</w:t>
      </w:r>
      <w:r>
        <w:fldChar w:fldCharType="end"/>
      </w:r>
    </w:p>
    <w:p w:rsidR="00113BEC" w:rsidP="00113BEC">
      <w:pPr>
        <w:pStyle w:val="Version"/>
        <w:sectPr w:rsidSect="00EF7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CA4" w:rsidP="00EF7CA4">
      <w:pPr>
        <w:pStyle w:val="SuperHeading"/>
      </w:pPr>
      <w:r w:rsidRPr="00EF7CA4">
        <w:t>Assessment Requirements for ICPPRN3210 Set up for basic gravure printing</w:t>
      </w:r>
    </w:p>
    <w:p w:rsidR="00000000" w:rsidRPr="00EF7CA4" w:rsidP="00EF7CA4">
      <w:pPr>
        <w:pStyle w:val="Heading1"/>
      </w:pPr>
      <w:bookmarkStart w:id="1" w:name="O_1074096"/>
      <w:bookmarkEnd w:id="1"/>
      <w:r w:rsidRPr="00EF7C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F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CA4" w:rsidP="00EF7CA4">
            <w:pPr>
              <w:pStyle w:val="BodyText"/>
            </w:pPr>
            <w:r w:rsidRPr="00EF7C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CA4">
            <w:pPr>
              <w:pStyle w:val="BodyText"/>
              <w:rPr>
                <w:lang w:val="en-NZ"/>
              </w:rPr>
            </w:pPr>
            <w:r w:rsidRPr="00EF7CA4">
              <w:rPr>
                <w:rStyle w:val="SpecialBold"/>
              </w:rPr>
              <w:t>Comments</w:t>
            </w:r>
          </w:p>
        </w:tc>
      </w:tr>
      <w:tr w:rsidTr="00EF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CA4">
            <w:pPr>
              <w:pStyle w:val="BodyText"/>
              <w:rPr>
                <w:lang w:val="en-NZ"/>
              </w:rPr>
            </w:pPr>
            <w:r w:rsidRPr="00EF7C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CA4" w:rsidP="00EF7CA4">
            <w:pPr>
              <w:pStyle w:val="BodyText"/>
            </w:pPr>
            <w:r w:rsidRPr="00EF7CA4">
              <w:t>This version first released with ICP Printing and Graphic Arts Training Package Version 4.0.</w:t>
            </w:r>
          </w:p>
        </w:tc>
      </w:tr>
    </w:tbl>
    <w:p w:rsidR="00000000" w:rsidRPr="00EF7CA4" w:rsidP="00EF7CA4">
      <w:pPr>
        <w:pStyle w:val="BodyText"/>
      </w:pPr>
    </w:p>
    <w:p w:rsidR="00000000" w:rsidRPr="00EF7CA4" w:rsidP="00EF7CA4">
      <w:pPr>
        <w:pStyle w:val="AllowPageBreak"/>
      </w:pPr>
    </w:p>
    <w:p w:rsidR="00000000" w:rsidRPr="00EF7CA4" w:rsidP="00EF7CA4">
      <w:pPr>
        <w:pStyle w:val="Heading1"/>
      </w:pPr>
      <w:bookmarkStart w:id="2" w:name="O_1074099"/>
      <w:bookmarkEnd w:id="2"/>
      <w:r w:rsidRPr="00EF7CA4">
        <w:t>Performance Evidence</w:t>
      </w:r>
    </w:p>
    <w:p w:rsidR="00000000" w:rsidRPr="00EF7CA4" w:rsidP="00113BEC">
      <w:pPr>
        <w:pStyle w:val="BodyText"/>
      </w:pPr>
      <w:r w:rsidRPr="00EF7CA4">
        <w:t>The candidate must demonstrate the ability to complete the tasks outlined in the elements, performance criteria and foundation skills of this unit, including evidence of the ability to:</w:t>
      </w:r>
    </w:p>
    <w:p w:rsidR="00000000" w:rsidRPr="00EF7CA4" w:rsidP="00EF7CA4">
      <w:pPr>
        <w:pStyle w:val="ListBullet"/>
      </w:pPr>
      <w:r w:rsidRPr="00EF7CA4">
        <w:t>set up a press on two occasions for basic gravur</w:t>
      </w:r>
      <w:r w:rsidRPr="00EF7CA4">
        <w:t>e printing according to manufacturer specifications and enterprise procedures.</w:t>
      </w:r>
    </w:p>
    <w:p w:rsidR="00000000" w:rsidRPr="00EF7CA4" w:rsidP="00113BEC">
      <w:pPr>
        <w:pStyle w:val="BodyText"/>
      </w:pPr>
      <w:r w:rsidRPr="00EF7CA4">
        <w:t>In the course of the above the candidate must:</w:t>
      </w:r>
    </w:p>
    <w:p w:rsidR="00000000" w:rsidRPr="00EF7CA4" w:rsidP="00EF7CA4">
      <w:pPr>
        <w:pStyle w:val="ListBullet"/>
      </w:pPr>
      <w:r w:rsidRPr="00EF7CA4">
        <w:t>demonstrate all safety devices on the machine.</w:t>
      </w:r>
    </w:p>
    <w:p w:rsidR="00000000" w:rsidRPr="00EF7CA4" w:rsidP="00EF7CA4">
      <w:pPr>
        <w:pStyle w:val="AllowPageBreak"/>
      </w:pPr>
    </w:p>
    <w:p w:rsidR="00000000" w:rsidRPr="00EF7CA4" w:rsidP="00EF7CA4">
      <w:pPr>
        <w:pStyle w:val="Heading1"/>
      </w:pPr>
      <w:bookmarkStart w:id="3" w:name="O_1074098"/>
      <w:bookmarkEnd w:id="3"/>
      <w:r w:rsidRPr="00EF7CA4">
        <w:t>Knowledge Evidence</w:t>
      </w:r>
    </w:p>
    <w:p w:rsidR="00000000" w:rsidRPr="00EF7CA4" w:rsidP="00113BEC">
      <w:pPr>
        <w:pStyle w:val="BodyText"/>
      </w:pPr>
      <w:r w:rsidRPr="00EF7CA4">
        <w:t>The candidate must be able to demonstrate knowledge to complete the tasks outlined in the elements, performance criteria and foundation skills of this unit, including knowledge of:</w:t>
      </w:r>
    </w:p>
    <w:p w:rsidR="00000000" w:rsidRPr="00EF7CA4" w:rsidP="00EF7CA4">
      <w:pPr>
        <w:pStyle w:val="ListBullet"/>
      </w:pPr>
      <w:r w:rsidRPr="00EF7CA4">
        <w:t>enterprise procedures, manufacturer specifications, and work health and sa</w:t>
      </w:r>
      <w:r w:rsidRPr="00EF7CA4">
        <w:t>fety (WHS) requirements for:</w:t>
      </w:r>
    </w:p>
    <w:p w:rsidR="00000000" w:rsidRPr="00EF7CA4" w:rsidP="00EF7CA4">
      <w:pPr>
        <w:pStyle w:val="ListBullet2"/>
      </w:pPr>
      <w:r w:rsidRPr="00EF7CA4">
        <w:t>setting up and operating reel in-feed and delivery</w:t>
      </w:r>
    </w:p>
    <w:p w:rsidR="00000000" w:rsidRPr="00EF7CA4" w:rsidP="00EF7CA4">
      <w:pPr>
        <w:pStyle w:val="ListBullet2"/>
      </w:pPr>
      <w:r w:rsidRPr="00EF7CA4">
        <w:t>the rewind of the machine delivery system</w:t>
      </w:r>
    </w:p>
    <w:p w:rsidR="00000000" w:rsidRPr="00EF7CA4" w:rsidP="00EF7CA4">
      <w:pPr>
        <w:pStyle w:val="ListBullet2"/>
      </w:pPr>
      <w:r w:rsidRPr="00EF7CA4">
        <w:t>handling blades</w:t>
      </w:r>
    </w:p>
    <w:p w:rsidR="00000000" w:rsidRPr="00EF7CA4" w:rsidP="00EF7CA4">
      <w:pPr>
        <w:pStyle w:val="ListBullet2"/>
      </w:pPr>
      <w:r w:rsidRPr="00EF7CA4">
        <w:t>handling inks and additives</w:t>
      </w:r>
    </w:p>
    <w:p w:rsidR="00000000" w:rsidRPr="00EF7CA4" w:rsidP="00EF7CA4">
      <w:pPr>
        <w:pStyle w:val="ListBullet"/>
      </w:pPr>
      <w:r w:rsidRPr="00EF7CA4">
        <w:t>the job documentation or production control system, and the information it contains</w:t>
      </w:r>
    </w:p>
    <w:p w:rsidR="00000000" w:rsidRPr="00EF7CA4" w:rsidP="00EF7CA4">
      <w:pPr>
        <w:pStyle w:val="ListBullet"/>
      </w:pPr>
      <w:r w:rsidRPr="00EF7CA4">
        <w:t>step</w:t>
      </w:r>
      <w:r w:rsidRPr="00EF7CA4">
        <w:t>s to take and procedures to follow:</w:t>
      </w:r>
    </w:p>
    <w:p w:rsidR="00000000" w:rsidRPr="00EF7CA4" w:rsidP="00EF7CA4">
      <w:pPr>
        <w:pStyle w:val="ListBullet2"/>
      </w:pPr>
      <w:r w:rsidRPr="00EF7CA4">
        <w:t>if vital information is missing from the job ticket</w:t>
      </w:r>
    </w:p>
    <w:p w:rsidR="00000000" w:rsidRPr="00EF7CA4" w:rsidP="00EF7CA4">
      <w:pPr>
        <w:pStyle w:val="ListBullet2"/>
      </w:pPr>
      <w:r w:rsidRPr="00EF7CA4">
        <w:t>to select the material printing side</w:t>
      </w:r>
    </w:p>
    <w:p w:rsidR="00000000" w:rsidRPr="00EF7CA4" w:rsidP="00EF7CA4">
      <w:pPr>
        <w:pStyle w:val="ListBullet2"/>
      </w:pPr>
      <w:r w:rsidRPr="00EF7CA4">
        <w:t>to modify a slightly light ink to meet the needs of the job</w:t>
      </w:r>
    </w:p>
    <w:p w:rsidR="00000000" w:rsidRPr="00EF7CA4" w:rsidP="00EF7CA4">
      <w:pPr>
        <w:pStyle w:val="ListBullet2"/>
      </w:pPr>
      <w:r w:rsidRPr="00EF7CA4">
        <w:t>to determine machine specifications for each job</w:t>
      </w:r>
    </w:p>
    <w:p w:rsidR="00000000" w:rsidRPr="00EF7CA4" w:rsidP="00EF7CA4">
      <w:pPr>
        <w:pStyle w:val="ListBullet2"/>
      </w:pPr>
      <w:r w:rsidRPr="00EF7CA4">
        <w:t>to ensure ink levels in the inking system are maintained at the required level</w:t>
      </w:r>
    </w:p>
    <w:p w:rsidR="00000000" w:rsidRPr="00EF7CA4" w:rsidP="00EF7CA4">
      <w:pPr>
        <w:pStyle w:val="ListBullet2"/>
      </w:pPr>
      <w:r w:rsidRPr="00EF7CA4">
        <w:t>to determine if inking system has been adjusted as required</w:t>
      </w:r>
    </w:p>
    <w:p w:rsidR="00000000" w:rsidRPr="00EF7CA4" w:rsidP="00EF7CA4">
      <w:pPr>
        <w:pStyle w:val="ListBullet2"/>
      </w:pPr>
      <w:r w:rsidRPr="00EF7CA4">
        <w:t>to protect equipment used in in-line processing from damage during set-up</w:t>
      </w:r>
    </w:p>
    <w:p w:rsidR="00000000" w:rsidRPr="00EF7CA4" w:rsidP="00EF7CA4">
      <w:pPr>
        <w:pStyle w:val="ListBullet2"/>
      </w:pPr>
      <w:r w:rsidRPr="00EF7CA4">
        <w:t>to incorporate in-line processes into the m</w:t>
      </w:r>
      <w:r w:rsidRPr="00EF7CA4">
        <w:t>ake ready</w:t>
      </w:r>
    </w:p>
    <w:p w:rsidR="00000000" w:rsidRPr="00EF7CA4" w:rsidP="00EF7CA4">
      <w:pPr>
        <w:pStyle w:val="ListBullet2"/>
      </w:pPr>
      <w:r w:rsidRPr="00EF7CA4">
        <w:t>to have the print approved</w:t>
      </w:r>
    </w:p>
    <w:p w:rsidR="00000000" w:rsidRPr="00EF7CA4" w:rsidP="00EF7CA4">
      <w:pPr>
        <w:pStyle w:val="ListBullet2"/>
      </w:pPr>
      <w:r w:rsidRPr="00EF7CA4">
        <w:t>to determine settings adjustments</w:t>
      </w:r>
    </w:p>
    <w:p w:rsidR="00000000" w:rsidRPr="00EF7CA4" w:rsidP="00EF7CA4">
      <w:pPr>
        <w:pStyle w:val="ListBullet"/>
      </w:pPr>
      <w:r w:rsidRPr="00EF7CA4">
        <w:t>the effects of:</w:t>
      </w:r>
    </w:p>
    <w:p w:rsidR="00000000" w:rsidRPr="00EF7CA4" w:rsidP="00EF7CA4">
      <w:pPr>
        <w:pStyle w:val="ListBullet2"/>
      </w:pPr>
      <w:r w:rsidRPr="00EF7CA4">
        <w:t>low web tension on the print</w:t>
      </w:r>
    </w:p>
    <w:p w:rsidR="00000000" w:rsidRPr="00EF7CA4" w:rsidP="00EF7CA4">
      <w:pPr>
        <w:pStyle w:val="ListBullet2"/>
      </w:pPr>
      <w:r w:rsidRPr="00EF7CA4">
        <w:t>excessive web tension at the rewind of the machine</w:t>
      </w:r>
    </w:p>
    <w:p w:rsidR="00000000" w:rsidRPr="00EF7CA4" w:rsidP="00EF7CA4">
      <w:pPr>
        <w:pStyle w:val="ListBullet2"/>
      </w:pPr>
      <w:r w:rsidRPr="00EF7CA4">
        <w:t>the ink being too viscose</w:t>
      </w:r>
    </w:p>
    <w:p w:rsidR="00000000" w:rsidRPr="00EF7CA4" w:rsidP="00EF7CA4">
      <w:pPr>
        <w:pStyle w:val="ListBullet"/>
      </w:pPr>
      <w:r w:rsidRPr="00EF7CA4">
        <w:t>the materials required prior to set up</w:t>
      </w:r>
    </w:p>
    <w:p w:rsidR="00000000" w:rsidRPr="00EF7CA4" w:rsidP="00EF7CA4">
      <w:pPr>
        <w:pStyle w:val="ListBullet"/>
      </w:pPr>
      <w:r w:rsidRPr="00EF7CA4">
        <w:t>the required cylinder</w:t>
      </w:r>
      <w:r w:rsidRPr="00EF7CA4">
        <w:t>s for each job</w:t>
      </w:r>
    </w:p>
    <w:p w:rsidR="00000000" w:rsidRPr="00EF7CA4" w:rsidP="00EF7CA4">
      <w:pPr>
        <w:pStyle w:val="ListBullet"/>
      </w:pPr>
      <w:r w:rsidRPr="00EF7CA4">
        <w:t>the key considerations when handling gravure cylinders</w:t>
      </w:r>
    </w:p>
    <w:p w:rsidR="00000000" w:rsidRPr="00EF7CA4" w:rsidP="00EF7CA4">
      <w:pPr>
        <w:pStyle w:val="ListBullet"/>
      </w:pPr>
      <w:r w:rsidRPr="00EF7CA4">
        <w:t>parts of the unit requiring checks to ensure cylinder is installed as required</w:t>
      </w:r>
    </w:p>
    <w:p w:rsidR="00000000" w:rsidRPr="00EF7CA4" w:rsidP="00EF7CA4">
      <w:pPr>
        <w:pStyle w:val="ListBullet"/>
      </w:pPr>
      <w:r w:rsidRPr="00EF7CA4">
        <w:t>different types of web-splices that could be used for the job</w:t>
      </w:r>
    </w:p>
    <w:p w:rsidR="00000000" w:rsidRPr="00EF7CA4" w:rsidP="00EF7CA4">
      <w:pPr>
        <w:pStyle w:val="ListBullet"/>
      </w:pPr>
      <w:r w:rsidRPr="00EF7CA4">
        <w:t>the process of matching ink suitability to a job</w:t>
      </w:r>
    </w:p>
    <w:p w:rsidR="00000000" w:rsidRPr="00EF7CA4" w:rsidP="00EF7CA4">
      <w:pPr>
        <w:pStyle w:val="ListBullet"/>
      </w:pPr>
      <w:r w:rsidRPr="00EF7CA4">
        <w:t>the environmental risks related to inks and additives and required legislation regarding their handling</w:t>
      </w:r>
    </w:p>
    <w:p w:rsidR="00000000" w:rsidRPr="00EF7CA4" w:rsidP="00EF7CA4">
      <w:pPr>
        <w:pStyle w:val="ListBullet"/>
      </w:pPr>
      <w:r w:rsidRPr="00EF7CA4">
        <w:t>the available methods to check for correct ink colour</w:t>
      </w:r>
    </w:p>
    <w:p w:rsidR="00000000" w:rsidRPr="00EF7CA4" w:rsidP="00EF7CA4">
      <w:pPr>
        <w:pStyle w:val="ListBullet"/>
      </w:pPr>
      <w:r w:rsidRPr="00EF7CA4">
        <w:t>enterprise personnel who pass the colour prior to</w:t>
      </w:r>
      <w:r w:rsidRPr="00EF7CA4">
        <w:t xml:space="preserve"> running the job</w:t>
      </w:r>
    </w:p>
    <w:p w:rsidR="00000000" w:rsidRPr="00EF7CA4" w:rsidP="00EF7CA4">
      <w:pPr>
        <w:pStyle w:val="ListBullet"/>
      </w:pPr>
      <w:r w:rsidRPr="00EF7CA4">
        <w:t>quality control measurements to apply to the proof to test against known standards</w:t>
      </w:r>
    </w:p>
    <w:p w:rsidR="00000000" w:rsidRPr="00EF7CA4" w:rsidP="00EF7CA4">
      <w:pPr>
        <w:pStyle w:val="ListBullet"/>
      </w:pPr>
      <w:r w:rsidRPr="00EF7CA4">
        <w:t>items to check on the initial print prior to running</w:t>
      </w:r>
    </w:p>
    <w:p w:rsidR="00000000" w:rsidRPr="00EF7CA4" w:rsidP="00EF7CA4">
      <w:pPr>
        <w:pStyle w:val="ListBullet"/>
      </w:pPr>
      <w:r w:rsidRPr="00EF7CA4">
        <w:t>the process used to plot success of the machine adjustment</w:t>
      </w:r>
    </w:p>
    <w:p w:rsidR="00000000" w:rsidRPr="00EF7CA4" w:rsidP="00EF7CA4">
      <w:pPr>
        <w:pStyle w:val="ListBullet"/>
      </w:pPr>
      <w:r w:rsidRPr="00EF7CA4">
        <w:t>the method for recording final results for f</w:t>
      </w:r>
      <w:r w:rsidRPr="00EF7CA4">
        <w:t>uture reference</w:t>
      </w:r>
    </w:p>
    <w:p w:rsidR="00000000" w:rsidRPr="00EF7CA4" w:rsidP="00EF7CA4">
      <w:pPr>
        <w:pStyle w:val="ListBullet"/>
      </w:pPr>
      <w:r w:rsidRPr="00EF7CA4">
        <w:t>manufacturer manuals, enterprise procedures and work health and safety documentation, including their location and purpose.</w:t>
      </w:r>
    </w:p>
    <w:p w:rsidR="00000000" w:rsidRPr="00EF7CA4" w:rsidP="00EF7CA4">
      <w:pPr>
        <w:pStyle w:val="AllowPageBreak"/>
      </w:pPr>
    </w:p>
    <w:p w:rsidR="00000000" w:rsidRPr="00EF7CA4" w:rsidP="00EF7CA4">
      <w:pPr>
        <w:pStyle w:val="Heading1"/>
      </w:pPr>
      <w:bookmarkStart w:id="4" w:name="O_1074097"/>
      <w:bookmarkEnd w:id="4"/>
      <w:r w:rsidRPr="00EF7CA4">
        <w:t>Assessment Conditions</w:t>
      </w:r>
    </w:p>
    <w:p w:rsidR="00000000" w:rsidRPr="00EF7CA4" w:rsidP="00113BEC">
      <w:pPr>
        <w:pStyle w:val="BodyText"/>
      </w:pPr>
      <w:r w:rsidRPr="00EF7CA4">
        <w:t>Gather evidence to demonstrate consistent performance in conditions that ar</w:t>
      </w:r>
      <w:r w:rsidRPr="00EF7CA4">
        <w:t xml:space="preserve">e safe and replicate the workplace. Noise levels, production flow, interruptions and time variances must be typical of those experienced in the printing field of work and include access to: </w:t>
      </w:r>
    </w:p>
    <w:p w:rsidR="00000000" w:rsidRPr="00EF7CA4" w:rsidP="00EF7CA4">
      <w:pPr>
        <w:pStyle w:val="ListBullet"/>
      </w:pPr>
      <w:r w:rsidRPr="00EF7CA4">
        <w:t>special purpose tools, equipment and materials</w:t>
      </w:r>
    </w:p>
    <w:p w:rsidR="00000000" w:rsidRPr="00EF7CA4" w:rsidP="00EF7CA4">
      <w:pPr>
        <w:pStyle w:val="ListBullet"/>
      </w:pPr>
      <w:r w:rsidRPr="00EF7CA4">
        <w:t xml:space="preserve">gravure printing </w:t>
      </w:r>
      <w:r w:rsidRPr="00EF7CA4">
        <w:t>machine with in line units.</w:t>
      </w:r>
    </w:p>
    <w:p w:rsidR="00000000" w:rsidRPr="00EF7CA4" w:rsidP="00113BEC">
      <w:pPr>
        <w:pStyle w:val="BodyText"/>
      </w:pPr>
      <w:r w:rsidRPr="00EF7CA4">
        <w:t>Assessors of this unit must satisfy the requirements for assessors in applicable vocational education and training legislation, frameworks and/or standards.</w:t>
      </w:r>
    </w:p>
    <w:p w:rsidR="00000000" w:rsidRPr="00EF7CA4" w:rsidP="00EF7CA4">
      <w:pPr>
        <w:pStyle w:val="Heading1"/>
      </w:pPr>
      <w:bookmarkStart w:id="5" w:name="O_1074095"/>
      <w:bookmarkEnd w:id="5"/>
      <w:r w:rsidRPr="00EF7CA4">
        <w:t>Links</w:t>
      </w:r>
    </w:p>
    <w:p w:rsidR="00000000" w:rsidRPr="00EF7CA4" w:rsidP="00113BEC">
      <w:pPr>
        <w:pStyle w:val="BodyText"/>
      </w:pPr>
      <w:r w:rsidRPr="00EF7CA4">
        <w:t>Companion Volume Implementation Guide is found</w:t>
      </w:r>
      <w:r w:rsidRPr="00EF7CA4">
        <w:t xml:space="preserve">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0EF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F7CA4" w:rsidP="00EF7CA4"/>
    <w:sectPr w:rsidSect="00EF7C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A4" w:rsidRPr="00113BEC" w:rsidP="00113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EC" w:rsidP="00EF7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BEC" w:rsidP="00EF7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BEC" w:rsidP="00EF7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CA4" w:rsidRPr="00113BEC" w:rsidP="00113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EC" w:rsidRPr="002D2AF8" w:rsidP="00EF7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ICPPRN3210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13BEC" w:rsidP="00EF7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8D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E4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AC0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CA4"/>
  </w:style>
  <w:style w:type="character" w:customStyle="1" w:styleId="Heading1Char">
    <w:name w:val="Heading 1 Char"/>
    <w:basedOn w:val="DefaultParagraphFont"/>
    <w:link w:val="Heading1"/>
    <w:rsid w:val="00EF7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C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CA4"/>
    <w:rPr>
      <w:b/>
      <w:spacing w:val="0"/>
    </w:rPr>
  </w:style>
  <w:style w:type="paragraph" w:styleId="ListBullet2">
    <w:name w:val="List Bullet 2"/>
    <w:basedOn w:val="List2"/>
    <w:rsid w:val="00EF7C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CA4"/>
    <w:rPr>
      <w:i/>
    </w:rPr>
  </w:style>
  <w:style w:type="paragraph" w:styleId="Caption">
    <w:name w:val="caption"/>
    <w:basedOn w:val="BodyText"/>
    <w:next w:val="Normal"/>
    <w:qFormat/>
    <w:rsid w:val="00EF7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CA4"/>
  </w:style>
  <w:style w:type="paragraph" w:styleId="TableofFigures">
    <w:name w:val="table of figures"/>
    <w:basedOn w:val="Normal"/>
    <w:next w:val="Normal"/>
    <w:semiHidden/>
    <w:rsid w:val="00EF7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CA4"/>
    <w:rPr>
      <w:rFonts w:ascii="Wingdings" w:hAnsi="Wingdings"/>
    </w:rPr>
  </w:style>
  <w:style w:type="paragraph" w:customStyle="1" w:styleId="TableHeading">
    <w:name w:val="Table Heading"/>
    <w:basedOn w:val="HeadingBase"/>
    <w:rsid w:val="00EF7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CA4"/>
    <w:rPr>
      <w:color w:val="0033CC"/>
      <w:u w:val="none"/>
    </w:rPr>
  </w:style>
  <w:style w:type="paragraph" w:customStyle="1" w:styleId="BodyTextRight">
    <w:name w:val="Body Text Right"/>
    <w:basedOn w:val="BodyText"/>
    <w:rsid w:val="00EF7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CA4"/>
    <w:rPr>
      <w:sz w:val="32"/>
    </w:rPr>
  </w:style>
  <w:style w:type="paragraph" w:customStyle="1" w:styleId="HeadingProcedure">
    <w:name w:val="Heading Procedure"/>
    <w:basedOn w:val="HeadingBase"/>
    <w:next w:val="Normal"/>
    <w:rsid w:val="00EF7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CA4"/>
    <w:pPr>
      <w:spacing w:before="60" w:after="60"/>
    </w:pPr>
  </w:style>
  <w:style w:type="paragraph" w:styleId="ListContinue">
    <w:name w:val="List Continue"/>
    <w:basedOn w:val="List"/>
    <w:rsid w:val="00EF7CA4"/>
    <w:pPr>
      <w:ind w:firstLine="0"/>
    </w:pPr>
  </w:style>
  <w:style w:type="paragraph" w:customStyle="1" w:styleId="ListNote">
    <w:name w:val="List Note"/>
    <w:basedOn w:val="List"/>
    <w:rsid w:val="00EF7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CA4"/>
    <w:rPr>
      <w:rFonts w:ascii="Courier New" w:hAnsi="Courier New"/>
    </w:rPr>
  </w:style>
  <w:style w:type="paragraph" w:customStyle="1" w:styleId="NoteBullet">
    <w:name w:val="Note Bullet"/>
    <w:basedOn w:val="Note"/>
    <w:rsid w:val="00EF7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CA4"/>
    <w:rPr>
      <w:b/>
      <w:smallCaps/>
    </w:rPr>
  </w:style>
  <w:style w:type="paragraph" w:customStyle="1" w:styleId="TableListNumber">
    <w:name w:val="Table List Number"/>
    <w:basedOn w:val="ListNumber"/>
    <w:rsid w:val="00EF7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CA4"/>
    <w:pPr>
      <w:numPr>
        <w:numId w:val="9"/>
      </w:numPr>
    </w:pPr>
  </w:style>
  <w:style w:type="paragraph" w:customStyle="1" w:styleId="ListAlpha2">
    <w:name w:val="List Alpha 2"/>
    <w:basedOn w:val="List2"/>
    <w:rsid w:val="00EF7CA4"/>
    <w:pPr>
      <w:numPr>
        <w:numId w:val="8"/>
      </w:numPr>
    </w:pPr>
  </w:style>
  <w:style w:type="paragraph" w:styleId="List2">
    <w:name w:val="List 2"/>
    <w:basedOn w:val="BodyText"/>
    <w:rsid w:val="00EF7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CA4"/>
    <w:pPr>
      <w:numPr>
        <w:numId w:val="4"/>
      </w:numPr>
    </w:pPr>
  </w:style>
  <w:style w:type="paragraph" w:styleId="ListContinue2">
    <w:name w:val="List Continue 2"/>
    <w:basedOn w:val="List2"/>
    <w:rsid w:val="00EF7CA4"/>
    <w:pPr>
      <w:ind w:firstLine="0"/>
    </w:pPr>
  </w:style>
  <w:style w:type="paragraph" w:styleId="ListContinue3">
    <w:name w:val="List Continue 3"/>
    <w:basedOn w:val="List3"/>
    <w:rsid w:val="00EF7CA4"/>
    <w:pPr>
      <w:ind w:left="1021" w:firstLine="0"/>
    </w:pPr>
  </w:style>
  <w:style w:type="paragraph" w:styleId="ListContinue4">
    <w:name w:val="List Continue 4"/>
    <w:basedOn w:val="List4"/>
    <w:rsid w:val="00EF7CA4"/>
    <w:pPr>
      <w:ind w:firstLine="0"/>
    </w:pPr>
  </w:style>
  <w:style w:type="paragraph" w:styleId="ListContinue5">
    <w:name w:val="List Continue 5"/>
    <w:basedOn w:val="List5"/>
    <w:rsid w:val="00EF7CA4"/>
    <w:pPr>
      <w:ind w:firstLine="0"/>
    </w:pPr>
  </w:style>
  <w:style w:type="paragraph" w:styleId="ListNumber3">
    <w:name w:val="List Number 3"/>
    <w:basedOn w:val="List3"/>
    <w:rsid w:val="00EF7CA4"/>
    <w:pPr>
      <w:numPr>
        <w:numId w:val="5"/>
      </w:numPr>
    </w:pPr>
  </w:style>
  <w:style w:type="paragraph" w:styleId="ListNumber4">
    <w:name w:val="List Number 4"/>
    <w:basedOn w:val="List4"/>
    <w:rsid w:val="00EF7CA4"/>
    <w:pPr>
      <w:numPr>
        <w:numId w:val="6"/>
      </w:numPr>
    </w:pPr>
  </w:style>
  <w:style w:type="paragraph" w:styleId="ListNumber5">
    <w:name w:val="List Number 5"/>
    <w:basedOn w:val="List5"/>
    <w:rsid w:val="00EF7CA4"/>
    <w:pPr>
      <w:numPr>
        <w:numId w:val="7"/>
      </w:numPr>
    </w:pPr>
  </w:style>
  <w:style w:type="paragraph" w:styleId="BlockText">
    <w:name w:val="Block Text"/>
    <w:basedOn w:val="Normal"/>
    <w:rsid w:val="00EF7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CA4"/>
    <w:rPr>
      <w:sz w:val="16"/>
      <w:vertAlign w:val="superscript"/>
    </w:rPr>
  </w:style>
  <w:style w:type="character" w:customStyle="1" w:styleId="Symbols">
    <w:name w:val="Symbols"/>
    <w:basedOn w:val="DefaultParagraphFont"/>
    <w:rsid w:val="00EF7CA4"/>
    <w:rPr>
      <w:rFonts w:ascii="Symbol" w:hAnsi="Symbol"/>
    </w:rPr>
  </w:style>
  <w:style w:type="character" w:customStyle="1" w:styleId="MenuOptions">
    <w:name w:val="Menu Options"/>
    <w:basedOn w:val="DefaultParagraphFont"/>
    <w:rsid w:val="00EF7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CA4"/>
    <w:rPr>
      <w:b/>
    </w:rPr>
  </w:style>
  <w:style w:type="character" w:customStyle="1" w:styleId="Underlined">
    <w:name w:val="Underlined"/>
    <w:basedOn w:val="DefaultParagraphFont"/>
    <w:rsid w:val="00EF7CA4"/>
    <w:rPr>
      <w:u w:val="single"/>
    </w:rPr>
  </w:style>
  <w:style w:type="paragraph" w:customStyle="1" w:styleId="TableBodyTextRight">
    <w:name w:val="Table Body Text Right"/>
    <w:basedOn w:val="TableBodyText"/>
    <w:rsid w:val="00EF7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CA4"/>
    <w:rPr>
      <w:sz w:val="18"/>
    </w:rPr>
  </w:style>
  <w:style w:type="paragraph" w:customStyle="1" w:styleId="BodySmallRight">
    <w:name w:val="Body Small Right"/>
    <w:basedOn w:val="BodyTextRight"/>
    <w:rsid w:val="00EF7CA4"/>
    <w:rPr>
      <w:sz w:val="18"/>
      <w:szCs w:val="18"/>
    </w:rPr>
  </w:style>
  <w:style w:type="paragraph" w:customStyle="1" w:styleId="MarginEdition">
    <w:name w:val="Margin Edition"/>
    <w:basedOn w:val="MarginNote"/>
    <w:rsid w:val="00EF7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CA4"/>
    <w:rPr>
      <w:sz w:val="2"/>
      <w:szCs w:val="2"/>
    </w:rPr>
  </w:style>
  <w:style w:type="character" w:customStyle="1" w:styleId="Small">
    <w:name w:val="Small"/>
    <w:basedOn w:val="DefaultParagraphFont"/>
    <w:rsid w:val="00EF7CA4"/>
    <w:rPr>
      <w:sz w:val="16"/>
    </w:rPr>
  </w:style>
  <w:style w:type="paragraph" w:customStyle="1" w:styleId="WideTable">
    <w:name w:val="Wide Table"/>
    <w:basedOn w:val="Normal"/>
    <w:rsid w:val="00EF7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CA4"/>
  </w:style>
  <w:style w:type="paragraph" w:styleId="Quote">
    <w:name w:val="Quote"/>
    <w:basedOn w:val="Heading1"/>
    <w:link w:val="QuoteChar"/>
    <w:qFormat/>
    <w:rsid w:val="00EF7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CA4"/>
    <w:pPr>
      <w:pageBreakBefore/>
    </w:pPr>
  </w:style>
  <w:style w:type="paragraph" w:customStyle="1" w:styleId="Border">
    <w:name w:val="Border"/>
    <w:basedOn w:val="Normal"/>
    <w:qFormat/>
    <w:rsid w:val="00EF7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CA4"/>
    <w:rPr>
      <w:u w:val="single"/>
    </w:rPr>
  </w:style>
  <w:style w:type="character" w:customStyle="1" w:styleId="BoldandItalics">
    <w:name w:val="Bold and Italics"/>
    <w:qFormat/>
    <w:rsid w:val="00EF7CA4"/>
    <w:rPr>
      <w:b/>
      <w:i/>
      <w:u w:val="none"/>
    </w:rPr>
  </w:style>
  <w:style w:type="paragraph" w:styleId="BalloonText">
    <w:name w:val="Balloon Text"/>
    <w:basedOn w:val="Normal"/>
    <w:link w:val="BalloonTextChar"/>
    <w:rsid w:val="00EF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CA4"/>
    <w:pPr>
      <w:spacing w:before="0" w:after="0"/>
    </w:pPr>
  </w:style>
  <w:style w:type="paragraph" w:customStyle="1" w:styleId="BodyTextBold">
    <w:name w:val="Body Text Bold"/>
    <w:basedOn w:val="BodyText"/>
    <w:qFormat/>
    <w:rsid w:val="00EF7CA4"/>
    <w:rPr>
      <w:b/>
    </w:rPr>
  </w:style>
  <w:style w:type="character" w:styleId="Hyperlink">
    <w:name w:val="Hyperlink"/>
    <w:basedOn w:val="DefaultParagraphFont"/>
    <w:uiPriority w:val="99"/>
    <w:unhideWhenUsed/>
    <w:rsid w:val="00113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3178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ICPPRN3210 Set up for basic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