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93FCB" w:rsidP="00C93FC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ICPPRN3130 Set up for basic flexographic printing</w:t>
      </w:r>
      <w:r>
        <w:fldChar w:fldCharType="end"/>
      </w:r>
    </w:p>
    <w:p w:rsidR="00C93FCB" w:rsidP="00C93FCB">
      <w:pPr>
        <w:pStyle w:val="Version"/>
        <w:sectPr w:rsidSect="009C7F8C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C7F8C" w:rsidP="009C7F8C">
      <w:pPr>
        <w:pStyle w:val="SuperHeading"/>
      </w:pPr>
      <w:r w:rsidRPr="009C7F8C">
        <w:t>Assessment Requirements for ICPPRN3130 Set up for basic flexographic printing</w:t>
      </w:r>
    </w:p>
    <w:p w:rsidR="00000000" w:rsidRPr="009C7F8C" w:rsidP="009C7F8C">
      <w:pPr>
        <w:pStyle w:val="Heading1"/>
      </w:pPr>
      <w:bookmarkStart w:id="1" w:name="O_1073916"/>
      <w:bookmarkEnd w:id="1"/>
      <w:r w:rsidRPr="009C7F8C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493"/>
        <w:gridCol w:w="6337"/>
      </w:tblGrid>
      <w:tr w:rsidTr="009C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8C" w:rsidP="009C7F8C">
            <w:pPr>
              <w:pStyle w:val="BodyText"/>
            </w:pPr>
            <w:r w:rsidRPr="009C7F8C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8C">
            <w:pPr>
              <w:pStyle w:val="BodyText"/>
              <w:rPr>
                <w:lang w:val="en-NZ"/>
              </w:rPr>
            </w:pPr>
            <w:r w:rsidRPr="009C7F8C">
              <w:rPr>
                <w:rStyle w:val="SpecialBold"/>
              </w:rPr>
              <w:t>Comments</w:t>
            </w:r>
          </w:p>
        </w:tc>
      </w:tr>
      <w:tr w:rsidTr="009C7F8C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99"/>
        </w:trPr>
        <w:tc>
          <w:tcPr>
            <w:tcW w:w="24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C7F8C">
            <w:pPr>
              <w:pStyle w:val="BodyText"/>
              <w:rPr>
                <w:lang w:val="en-NZ"/>
              </w:rPr>
            </w:pPr>
            <w:r w:rsidRPr="009C7F8C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C7F8C" w:rsidP="009C7F8C">
            <w:pPr>
              <w:pStyle w:val="BodyText"/>
            </w:pPr>
            <w:r w:rsidRPr="009C7F8C">
              <w:t>This version first released with ICP Printing and Graphic Arts Training Package Version 4.0.</w:t>
            </w:r>
          </w:p>
        </w:tc>
      </w:tr>
    </w:tbl>
    <w:p w:rsidR="00000000" w:rsidRPr="009C7F8C" w:rsidP="009C7F8C">
      <w:pPr>
        <w:pStyle w:val="BodyText"/>
      </w:pPr>
    </w:p>
    <w:p w:rsidR="00000000" w:rsidRPr="009C7F8C" w:rsidP="009C7F8C">
      <w:pPr>
        <w:pStyle w:val="AllowPageBreak"/>
      </w:pPr>
    </w:p>
    <w:p w:rsidR="00000000" w:rsidRPr="009C7F8C" w:rsidP="009C7F8C">
      <w:pPr>
        <w:pStyle w:val="Heading1"/>
      </w:pPr>
      <w:bookmarkStart w:id="2" w:name="O_1073919"/>
      <w:bookmarkEnd w:id="2"/>
      <w:r w:rsidRPr="009C7F8C">
        <w:t>Performance Evidence</w:t>
      </w:r>
    </w:p>
    <w:p w:rsidR="00000000" w:rsidRPr="009C7F8C" w:rsidP="00C93FCB">
      <w:pPr>
        <w:pStyle w:val="BodyText"/>
      </w:pPr>
      <w:r w:rsidRPr="009C7F8C">
        <w:t>The candidate must demonstrate the ability to complete the tasks outlined in the elements, performance criteria and foundation skills of this unit, including evidence of the ability to:</w:t>
      </w:r>
    </w:p>
    <w:p w:rsidR="00000000" w:rsidRPr="009C7F8C" w:rsidP="009C7F8C">
      <w:pPr>
        <w:pStyle w:val="ListBullet"/>
      </w:pPr>
      <w:r w:rsidRPr="009C7F8C">
        <w:t>set up a press on two occasions for bas</w:t>
      </w:r>
      <w:r w:rsidRPr="009C7F8C">
        <w:t>ic flexographic printing, according to manufacturer specifications and enterprise procedures.</w:t>
      </w:r>
    </w:p>
    <w:p w:rsidR="00000000" w:rsidRPr="009C7F8C" w:rsidP="00C93FCB">
      <w:pPr>
        <w:pStyle w:val="BodyText"/>
      </w:pPr>
      <w:r w:rsidRPr="009C7F8C">
        <w:t>In the course of the above the candidate must:</w:t>
      </w:r>
    </w:p>
    <w:p w:rsidR="00000000" w:rsidRPr="009C7F8C" w:rsidP="009C7F8C">
      <w:pPr>
        <w:pStyle w:val="ListBullet"/>
      </w:pPr>
      <w:r w:rsidRPr="009C7F8C">
        <w:t>demonstrate all safety devices on the machine</w:t>
      </w:r>
    </w:p>
    <w:p w:rsidR="00000000" w:rsidRPr="009C7F8C" w:rsidP="009C7F8C">
      <w:pPr>
        <w:pStyle w:val="ListBullet"/>
      </w:pPr>
      <w:r w:rsidRPr="009C7F8C">
        <w:t>demonstrate use of control, monitoring and data entry systems.</w:t>
      </w:r>
    </w:p>
    <w:p w:rsidR="00000000" w:rsidRPr="009C7F8C" w:rsidP="009C7F8C">
      <w:pPr>
        <w:pStyle w:val="AllowPageBreak"/>
      </w:pPr>
    </w:p>
    <w:p w:rsidR="00000000" w:rsidRPr="009C7F8C" w:rsidP="009C7F8C">
      <w:pPr>
        <w:pStyle w:val="Heading1"/>
      </w:pPr>
      <w:bookmarkStart w:id="3" w:name="O_1073918"/>
      <w:bookmarkEnd w:id="3"/>
      <w:r w:rsidRPr="009C7F8C">
        <w:t>Knowledge Evidence</w:t>
      </w:r>
    </w:p>
    <w:p w:rsidR="00000000" w:rsidRPr="009C7F8C" w:rsidP="00C93FCB">
      <w:pPr>
        <w:pStyle w:val="BodyText"/>
      </w:pPr>
      <w:r w:rsidRPr="009C7F8C">
        <w:t>The candidate must be able to demonstrate knowledge to complete the tasks outlined in the elements, performance criteria and foundation skills of this unit, including knowledge of:</w:t>
      </w:r>
    </w:p>
    <w:p w:rsidR="00000000" w:rsidRPr="009C7F8C" w:rsidP="009C7F8C">
      <w:pPr>
        <w:pStyle w:val="ListBullet"/>
      </w:pPr>
      <w:r w:rsidRPr="009C7F8C">
        <w:t>enterprise procedures, manufacturer s</w:t>
      </w:r>
      <w:r w:rsidRPr="009C7F8C">
        <w:t>pecifications and work health and safety (WHS) requirements for:</w:t>
      </w:r>
    </w:p>
    <w:p w:rsidR="00000000" w:rsidRPr="009C7F8C" w:rsidP="009C7F8C">
      <w:pPr>
        <w:pStyle w:val="ListBullet2"/>
      </w:pPr>
      <w:r w:rsidRPr="009C7F8C">
        <w:t>operating the sheet and reel in-feed and delivery systems</w:t>
      </w:r>
    </w:p>
    <w:p w:rsidR="00000000" w:rsidRPr="009C7F8C" w:rsidP="009C7F8C">
      <w:pPr>
        <w:pStyle w:val="ListBullet2"/>
      </w:pPr>
      <w:r w:rsidRPr="009C7F8C">
        <w:t>handling inks and additives</w:t>
      </w:r>
    </w:p>
    <w:p w:rsidR="00000000" w:rsidRPr="009C7F8C" w:rsidP="009C7F8C">
      <w:pPr>
        <w:pStyle w:val="ListBullet2"/>
      </w:pPr>
      <w:r w:rsidRPr="009C7F8C">
        <w:t>handling blades</w:t>
      </w:r>
    </w:p>
    <w:p w:rsidR="00000000" w:rsidRPr="009C7F8C" w:rsidP="009C7F8C">
      <w:pPr>
        <w:pStyle w:val="ListBullet2"/>
      </w:pPr>
      <w:r w:rsidRPr="009C7F8C">
        <w:t>setting up and operating the machine</w:t>
      </w:r>
    </w:p>
    <w:p w:rsidR="00000000" w:rsidRPr="009C7F8C" w:rsidP="009C7F8C">
      <w:pPr>
        <w:pStyle w:val="ListBullet"/>
      </w:pPr>
      <w:r w:rsidRPr="009C7F8C">
        <w:t>actions required if vital information is missing f</w:t>
      </w:r>
      <w:r w:rsidRPr="009C7F8C">
        <w:t>rom the job ticket</w:t>
      </w:r>
    </w:p>
    <w:p w:rsidR="00000000" w:rsidRPr="009C7F8C" w:rsidP="009C7F8C">
      <w:pPr>
        <w:pStyle w:val="ListBullet"/>
      </w:pPr>
      <w:r w:rsidRPr="009C7F8C">
        <w:t>precautions and checks required:</w:t>
      </w:r>
    </w:p>
    <w:p w:rsidR="00000000" w:rsidRPr="009C7F8C" w:rsidP="009C7F8C">
      <w:pPr>
        <w:pStyle w:val="ListBullet2"/>
      </w:pPr>
      <w:r w:rsidRPr="009C7F8C">
        <w:t>to avoid damaging plates and cylinders</w:t>
      </w:r>
    </w:p>
    <w:p w:rsidR="00000000" w:rsidRPr="009C7F8C" w:rsidP="009C7F8C">
      <w:pPr>
        <w:pStyle w:val="ListBullet2"/>
      </w:pPr>
      <w:r w:rsidRPr="009C7F8C">
        <w:t>for materials availability prior to set up</w:t>
      </w:r>
    </w:p>
    <w:p w:rsidR="00000000" w:rsidRPr="009C7F8C" w:rsidP="009C7F8C">
      <w:pPr>
        <w:pStyle w:val="ListBullet2"/>
      </w:pPr>
      <w:r w:rsidRPr="009C7F8C">
        <w:t>to protect in-line processing from damage</w:t>
      </w:r>
    </w:p>
    <w:p w:rsidR="00000000" w:rsidRPr="009C7F8C" w:rsidP="009C7F8C">
      <w:pPr>
        <w:pStyle w:val="ListBullet2"/>
      </w:pPr>
      <w:r w:rsidRPr="009C7F8C">
        <w:t>for quality control of proof and initial print</w:t>
      </w:r>
    </w:p>
    <w:p w:rsidR="00000000" w:rsidRPr="009C7F8C" w:rsidP="009C7F8C">
      <w:pPr>
        <w:pStyle w:val="ListBullet"/>
      </w:pPr>
      <w:r w:rsidRPr="009C7F8C">
        <w:t>common issues arising with reel systems and correction methods, including:</w:t>
      </w:r>
    </w:p>
    <w:p w:rsidR="00000000" w:rsidRPr="009C7F8C" w:rsidP="009C7F8C">
      <w:pPr>
        <w:pStyle w:val="ListBullet2"/>
      </w:pPr>
      <w:r w:rsidRPr="009C7F8C">
        <w:t>low or excessive web tension</w:t>
      </w:r>
    </w:p>
    <w:p w:rsidR="00000000" w:rsidRPr="009C7F8C" w:rsidP="009C7F8C">
      <w:pPr>
        <w:pStyle w:val="ListBullet2"/>
      </w:pPr>
      <w:r w:rsidRPr="009C7F8C">
        <w:t>selecting printing side of the material</w:t>
      </w:r>
    </w:p>
    <w:p w:rsidR="00000000" w:rsidRPr="009C7F8C" w:rsidP="009C7F8C">
      <w:pPr>
        <w:pStyle w:val="ListBullet2"/>
      </w:pPr>
      <w:r w:rsidRPr="009C7F8C">
        <w:t>when UV drying is used to dry the ink film</w:t>
      </w:r>
    </w:p>
    <w:p w:rsidR="00000000" w:rsidRPr="009C7F8C" w:rsidP="009C7F8C">
      <w:pPr>
        <w:pStyle w:val="ListBullet"/>
      </w:pPr>
      <w:r w:rsidRPr="009C7F8C">
        <w:t>types of web splices available for the job</w:t>
      </w:r>
    </w:p>
    <w:p w:rsidR="00000000" w:rsidRPr="009C7F8C" w:rsidP="009C7F8C">
      <w:pPr>
        <w:pStyle w:val="ListBullet"/>
      </w:pPr>
      <w:r w:rsidRPr="009C7F8C">
        <w:t>common issues arising wi</w:t>
      </w:r>
      <w:r w:rsidRPr="009C7F8C">
        <w:t>th sheet systems and correction methods, including:</w:t>
      </w:r>
    </w:p>
    <w:p w:rsidR="00000000" w:rsidRPr="009C7F8C" w:rsidP="009C7F8C">
      <w:pPr>
        <w:pStyle w:val="ListBullet2"/>
      </w:pPr>
      <w:r w:rsidRPr="009C7F8C">
        <w:t>sheet positioning in the in-feed</w:t>
      </w:r>
    </w:p>
    <w:p w:rsidR="00000000" w:rsidRPr="009C7F8C" w:rsidP="009C7F8C">
      <w:pPr>
        <w:pStyle w:val="ListBullet2"/>
      </w:pPr>
      <w:r w:rsidRPr="009C7F8C">
        <w:t>selection of front and side lays</w:t>
      </w:r>
    </w:p>
    <w:p w:rsidR="00000000" w:rsidRPr="009C7F8C" w:rsidP="009C7F8C">
      <w:pPr>
        <w:pStyle w:val="ListBullet2"/>
      </w:pPr>
      <w:r w:rsidRPr="009C7F8C">
        <w:t>machine indications of missing sheets</w:t>
      </w:r>
    </w:p>
    <w:p w:rsidR="00000000" w:rsidRPr="009C7F8C" w:rsidP="009C7F8C">
      <w:pPr>
        <w:pStyle w:val="ListBullet2"/>
      </w:pPr>
      <w:r w:rsidRPr="009C7F8C">
        <w:t>required applications of spray powder</w:t>
      </w:r>
    </w:p>
    <w:p w:rsidR="00000000" w:rsidRPr="009C7F8C" w:rsidP="009C7F8C">
      <w:pPr>
        <w:pStyle w:val="ListBullet2"/>
      </w:pPr>
      <w:r w:rsidRPr="009C7F8C">
        <w:t>excessive jogging on the stack</w:t>
      </w:r>
    </w:p>
    <w:p w:rsidR="00000000" w:rsidRPr="009C7F8C" w:rsidP="009C7F8C">
      <w:pPr>
        <w:pStyle w:val="ListBullet"/>
      </w:pPr>
      <w:r w:rsidRPr="009C7F8C">
        <w:t>procedures for:</w:t>
      </w:r>
    </w:p>
    <w:p w:rsidR="00000000" w:rsidRPr="009C7F8C" w:rsidP="009C7F8C">
      <w:pPr>
        <w:pStyle w:val="ListBullet2"/>
      </w:pPr>
      <w:r w:rsidRPr="009C7F8C">
        <w:t>a register c</w:t>
      </w:r>
      <w:r w:rsidRPr="009C7F8C">
        <w:t>heck</w:t>
      </w:r>
    </w:p>
    <w:p w:rsidR="00000000" w:rsidRPr="009C7F8C" w:rsidP="009C7F8C">
      <w:pPr>
        <w:pStyle w:val="ListBullet2"/>
      </w:pPr>
      <w:r w:rsidRPr="009C7F8C">
        <w:t>matching inks to jobs and modifying ink colour</w:t>
      </w:r>
    </w:p>
    <w:p w:rsidR="00000000" w:rsidRPr="009C7F8C" w:rsidP="009C7F8C">
      <w:pPr>
        <w:pStyle w:val="ListBullet2"/>
      </w:pPr>
      <w:r w:rsidRPr="009C7F8C">
        <w:t>required for print approval</w:t>
      </w:r>
    </w:p>
    <w:p w:rsidR="00000000" w:rsidRPr="009C7F8C" w:rsidP="009C7F8C">
      <w:pPr>
        <w:pStyle w:val="ListBullet2"/>
      </w:pPr>
      <w:r w:rsidRPr="009C7F8C">
        <w:t>determining machine specifications for particular jobs</w:t>
      </w:r>
    </w:p>
    <w:p w:rsidR="00000000" w:rsidRPr="009C7F8C" w:rsidP="009C7F8C">
      <w:pPr>
        <w:pStyle w:val="ListBullet2"/>
      </w:pPr>
      <w:r w:rsidRPr="009C7F8C">
        <w:t>minimising and handling waste</w:t>
      </w:r>
    </w:p>
    <w:p w:rsidR="00000000" w:rsidRPr="009C7F8C" w:rsidP="009C7F8C">
      <w:pPr>
        <w:pStyle w:val="ListBullet2"/>
      </w:pPr>
      <w:r w:rsidRPr="009C7F8C">
        <w:t>recording final results for future reference</w:t>
      </w:r>
    </w:p>
    <w:p w:rsidR="00000000" w:rsidRPr="009C7F8C" w:rsidP="009C7F8C">
      <w:pPr>
        <w:pStyle w:val="ListBullet"/>
      </w:pPr>
      <w:r w:rsidRPr="009C7F8C">
        <w:t>reasons for a two-sheet cut in most sheet system feeders</w:t>
      </w:r>
    </w:p>
    <w:p w:rsidR="00000000" w:rsidRPr="009C7F8C" w:rsidP="009C7F8C">
      <w:pPr>
        <w:pStyle w:val="ListBullet"/>
      </w:pPr>
      <w:r w:rsidRPr="009C7F8C">
        <w:t>slowdown devices and their uses in delivery</w:t>
      </w:r>
    </w:p>
    <w:p w:rsidR="00000000" w:rsidRPr="009C7F8C" w:rsidP="009C7F8C">
      <w:pPr>
        <w:pStyle w:val="ListBullet"/>
      </w:pPr>
      <w:r w:rsidRPr="009C7F8C">
        <w:t>effects on the job of ink viscosity</w:t>
      </w:r>
    </w:p>
    <w:p w:rsidR="00000000" w:rsidRPr="009C7F8C" w:rsidP="009C7F8C">
      <w:pPr>
        <w:pStyle w:val="ListBullet"/>
      </w:pPr>
      <w:r w:rsidRPr="009C7F8C">
        <w:t>enterprise personnel who pass colour prior to the job</w:t>
      </w:r>
    </w:p>
    <w:p w:rsidR="00000000" w:rsidRPr="009C7F8C" w:rsidP="009C7F8C">
      <w:pPr>
        <w:pStyle w:val="ListBullet"/>
      </w:pPr>
      <w:r w:rsidRPr="009C7F8C">
        <w:t>steps taken to ensure inking system is adjusted as required and t</w:t>
      </w:r>
      <w:r w:rsidRPr="009C7F8C">
        <w:t>he reasons for maintaining ink levels within a required range</w:t>
      </w:r>
    </w:p>
    <w:p w:rsidR="00000000" w:rsidRPr="009C7F8C" w:rsidP="009C7F8C">
      <w:pPr>
        <w:pStyle w:val="ListBullet"/>
      </w:pPr>
      <w:r w:rsidRPr="009C7F8C">
        <w:t>optimum make-ready-speed for the job</w:t>
      </w:r>
    </w:p>
    <w:p w:rsidR="00000000" w:rsidRPr="009C7F8C" w:rsidP="009C7F8C">
      <w:pPr>
        <w:pStyle w:val="ListBullet"/>
      </w:pPr>
      <w:r w:rsidRPr="009C7F8C">
        <w:t>basic in-line processes and the steps taken to incorporate them into the make-ready</w:t>
      </w:r>
    </w:p>
    <w:p w:rsidR="00000000" w:rsidRPr="009C7F8C" w:rsidP="009C7F8C">
      <w:pPr>
        <w:pStyle w:val="ListBullet"/>
      </w:pPr>
      <w:r w:rsidRPr="009C7F8C">
        <w:t>quality control measurements to apply to proof and initial print</w:t>
      </w:r>
    </w:p>
    <w:p w:rsidR="00000000" w:rsidRPr="009C7F8C" w:rsidP="009C7F8C">
      <w:pPr>
        <w:pStyle w:val="ListBullet"/>
      </w:pPr>
      <w:r w:rsidRPr="009C7F8C">
        <w:t xml:space="preserve">machine </w:t>
      </w:r>
      <w:r w:rsidRPr="009C7F8C">
        <w:t>setting adjustments, the criteria determining their use, and processes to plot their success</w:t>
      </w:r>
    </w:p>
    <w:p w:rsidR="00000000" w:rsidRPr="009C7F8C" w:rsidP="009C7F8C">
      <w:pPr>
        <w:pStyle w:val="ListBullet"/>
      </w:pPr>
      <w:r w:rsidRPr="009C7F8C">
        <w:t>tests for scuffing and coefficient of friction and the circumstances requiring them</w:t>
      </w:r>
    </w:p>
    <w:p w:rsidR="00000000" w:rsidRPr="009C7F8C" w:rsidP="009C7F8C">
      <w:pPr>
        <w:pStyle w:val="ListBullet"/>
      </w:pPr>
      <w:r w:rsidRPr="009C7F8C">
        <w:t>leaching</w:t>
      </w:r>
    </w:p>
    <w:p w:rsidR="00000000" w:rsidRPr="009C7F8C" w:rsidP="009C7F8C">
      <w:pPr>
        <w:pStyle w:val="ListBullet"/>
      </w:pPr>
      <w:r w:rsidRPr="009C7F8C">
        <w:t>major environmental concerns with regard to inks and additives</w:t>
      </w:r>
    </w:p>
    <w:p w:rsidR="00000000" w:rsidRPr="009C7F8C" w:rsidP="009C7F8C">
      <w:pPr>
        <w:pStyle w:val="ListBullet"/>
      </w:pPr>
      <w:r w:rsidRPr="009C7F8C">
        <w:t>manufacturer manuals, enterprise procedures  and work health and safety documentation, including their location and purpose.</w:t>
      </w:r>
    </w:p>
    <w:p w:rsidR="00000000" w:rsidRPr="009C7F8C" w:rsidP="009C7F8C">
      <w:pPr>
        <w:pStyle w:val="AllowPageBreak"/>
      </w:pPr>
    </w:p>
    <w:p w:rsidR="00000000" w:rsidRPr="009C7F8C" w:rsidP="009C7F8C">
      <w:pPr>
        <w:pStyle w:val="Heading1"/>
      </w:pPr>
      <w:bookmarkStart w:id="4" w:name="O_1073917"/>
      <w:bookmarkEnd w:id="4"/>
      <w:r w:rsidRPr="009C7F8C">
        <w:t>Assessment Conditions</w:t>
      </w:r>
    </w:p>
    <w:p w:rsidR="00000000" w:rsidRPr="009C7F8C" w:rsidP="00C93FCB">
      <w:pPr>
        <w:pStyle w:val="BodyText"/>
      </w:pPr>
      <w:r w:rsidRPr="009C7F8C">
        <w:t>Skills in this unit must be demonstrated in a workplace or simulated environment where the</w:t>
      </w:r>
      <w:r w:rsidRPr="009C7F8C">
        <w:t xml:space="preserve"> conditions are typical of those in a working environment in this industry. </w:t>
      </w:r>
    </w:p>
    <w:p w:rsidR="00000000" w:rsidRPr="009C7F8C" w:rsidP="00C93FCB">
      <w:pPr>
        <w:pStyle w:val="BodyText"/>
      </w:pPr>
      <w:r w:rsidRPr="009C7F8C">
        <w:t>This includes access to:</w:t>
      </w:r>
    </w:p>
    <w:p w:rsidR="00000000" w:rsidRPr="009C7F8C" w:rsidP="009C7F8C">
      <w:pPr>
        <w:pStyle w:val="ListBullet"/>
      </w:pPr>
      <w:r w:rsidRPr="009C7F8C">
        <w:t>special purpose tools, equipment and materials</w:t>
      </w:r>
    </w:p>
    <w:p w:rsidR="00000000" w:rsidRPr="009C7F8C" w:rsidP="009C7F8C">
      <w:pPr>
        <w:pStyle w:val="ListBullet"/>
      </w:pPr>
      <w:r w:rsidRPr="009C7F8C">
        <w:t>a range of standard inks and substrates</w:t>
      </w:r>
    </w:p>
    <w:p w:rsidR="00000000" w:rsidRPr="009C7F8C" w:rsidP="009C7F8C">
      <w:pPr>
        <w:pStyle w:val="ListBullet"/>
      </w:pPr>
      <w:r w:rsidRPr="009C7F8C">
        <w:t>a variety of stack, in-line and central impression flexographic pr</w:t>
      </w:r>
      <w:r w:rsidRPr="009C7F8C">
        <w:t>inting machines.</w:t>
      </w:r>
    </w:p>
    <w:p w:rsidR="00000000" w:rsidRPr="009C7F8C" w:rsidP="00C93FCB">
      <w:pPr>
        <w:pStyle w:val="BodyText"/>
      </w:pPr>
      <w:r w:rsidRPr="009C7F8C">
        <w:t>Assessors of this unit must satisfy the requirements for assessors in applicable vocational education and training legislation, frameworks and/or standards.</w:t>
      </w:r>
    </w:p>
    <w:p w:rsidR="00000000" w:rsidRPr="009C7F8C" w:rsidP="009C7F8C">
      <w:pPr>
        <w:pStyle w:val="Heading1"/>
      </w:pPr>
      <w:bookmarkStart w:id="5" w:name="O_1073915"/>
      <w:bookmarkEnd w:id="5"/>
      <w:r w:rsidRPr="009C7F8C">
        <w:t>Links</w:t>
      </w:r>
    </w:p>
    <w:p w:rsidR="00000000" w:rsidRPr="009C7F8C" w:rsidP="00C93FCB">
      <w:pPr>
        <w:pStyle w:val="BodyText"/>
      </w:pPr>
      <w:r w:rsidRPr="009C7F8C">
        <w:t xml:space="preserve">Companion Volume Implementation Guide is found on VETNet </w:t>
      </w:r>
      <w:r w:rsidRPr="009C7F8C">
        <w:t xml:space="preserve">- </w:t>
      </w:r>
      <w:r>
        <w:fldChar w:fldCharType="begin"/>
      </w:r>
      <w:r>
        <w:instrText xml:space="preserve"> HYPERLINK "https://vetnet.gov.au/Pages/TrainingDocs.aspx?q=a74b7a0f-a253-47e3-8be0-5d426e24131d" </w:instrText>
      </w:r>
      <w:r>
        <w:fldChar w:fldCharType="separate"/>
      </w:r>
      <w:r w:rsidRPr="00667719">
        <w:rPr>
          <w:rStyle w:val="Hyperlink"/>
        </w:rPr>
        <w:t>https://vetnet.gov.au/Pages/TrainingDocs.aspx?q=a74b7a0f-a253-47e3-8be0-5d426e24131d</w:t>
      </w:r>
      <w:r>
        <w:fldChar w:fldCharType="end"/>
      </w:r>
    </w:p>
    <w:p w:rsidR="00000000" w:rsidRPr="009C7F8C" w:rsidP="009C7F8C"/>
    <w:sectPr w:rsidSect="009C7F8C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8C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8C" w:rsidRPr="00C93FCB" w:rsidP="00C93FC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8C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CB" w:rsidP="009C7F8C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C93FCB" w:rsidP="009C7F8C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PwC’s Skills for Australia</w:t>
    </w:r>
    <w:r>
      <w:fldChar w:fldCharType="end"/>
    </w:r>
  </w:p>
  <w:p w:rsidR="00C93FCB" w:rsidP="009C7F8C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8C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C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C7F8C" w:rsidRPr="00C93FCB" w:rsidP="00C93FC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C7F8C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3FCB" w:rsidRPr="002D2AF8" w:rsidP="009C7F8C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ICPPRN3130 Set up for basic flexographic printing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20 July 2021</w:t>
    </w:r>
    <w:r>
      <w:fldChar w:fldCharType="end"/>
    </w:r>
  </w:p>
  <w:p w:rsidR="00C93FCB" w:rsidP="009C7F8C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07A0F568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E8013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50845436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C7F8C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C7F8C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C7F8C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C7F8C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C7F8C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C7F8C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C7F8C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C7F8C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C7F8C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C7F8C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C7F8C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C7F8C"/>
  </w:style>
  <w:style w:type="character" w:customStyle="1" w:styleId="Heading1Char">
    <w:name w:val="Heading 1 Char"/>
    <w:basedOn w:val="DefaultParagraphFont"/>
    <w:link w:val="Heading1"/>
    <w:rsid w:val="009C7F8C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C7F8C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C7F8C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C7F8C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C7F8C"/>
    <w:rPr>
      <w:b/>
      <w:spacing w:val="0"/>
    </w:rPr>
  </w:style>
  <w:style w:type="paragraph" w:styleId="ListBullet2">
    <w:name w:val="List Bullet 2"/>
    <w:basedOn w:val="List2"/>
    <w:rsid w:val="009C7F8C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C7F8C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C7F8C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C7F8C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C7F8C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C7F8C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C7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C7F8C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C7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C7F8C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C7F8C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C7F8C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C7F8C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C7F8C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C7F8C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C7F8C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C7F8C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C7F8C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C7F8C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C7F8C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C7F8C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C7F8C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C7F8C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C7F8C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C7F8C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C7F8C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C7F8C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C7F8C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C7F8C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C7F8C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C7F8C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C7F8C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C7F8C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C7F8C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C7F8C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C7F8C"/>
    <w:rPr>
      <w:i/>
    </w:rPr>
  </w:style>
  <w:style w:type="paragraph" w:styleId="Caption">
    <w:name w:val="caption"/>
    <w:basedOn w:val="BodyText"/>
    <w:next w:val="Normal"/>
    <w:qFormat/>
    <w:rsid w:val="009C7F8C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C7F8C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C7F8C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C7F8C"/>
  </w:style>
  <w:style w:type="paragraph" w:styleId="TableofFigures">
    <w:name w:val="table of figures"/>
    <w:basedOn w:val="Normal"/>
    <w:next w:val="Normal"/>
    <w:semiHidden/>
    <w:rsid w:val="009C7F8C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C7F8C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C7F8C"/>
    <w:rPr>
      <w:rFonts w:ascii="Wingdings" w:hAnsi="Wingdings"/>
    </w:rPr>
  </w:style>
  <w:style w:type="paragraph" w:customStyle="1" w:styleId="TableHeading">
    <w:name w:val="Table Heading"/>
    <w:basedOn w:val="HeadingBase"/>
    <w:rsid w:val="009C7F8C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C7F8C"/>
    <w:rPr>
      <w:color w:val="0033CC"/>
      <w:u w:val="none"/>
    </w:rPr>
  </w:style>
  <w:style w:type="paragraph" w:customStyle="1" w:styleId="BodyTextRight">
    <w:name w:val="Body Text Right"/>
    <w:basedOn w:val="BodyText"/>
    <w:rsid w:val="009C7F8C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C7F8C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C7F8C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C7F8C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C7F8C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C7F8C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C7F8C"/>
    <w:rPr>
      <w:sz w:val="32"/>
    </w:rPr>
  </w:style>
  <w:style w:type="paragraph" w:customStyle="1" w:styleId="HeadingProcedure">
    <w:name w:val="Heading Procedure"/>
    <w:basedOn w:val="HeadingBase"/>
    <w:next w:val="Normal"/>
    <w:rsid w:val="009C7F8C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C7F8C"/>
    <w:pPr>
      <w:spacing w:before="60" w:after="60"/>
    </w:pPr>
  </w:style>
  <w:style w:type="paragraph" w:styleId="ListContinue">
    <w:name w:val="List Continue"/>
    <w:basedOn w:val="List"/>
    <w:rsid w:val="009C7F8C"/>
    <w:pPr>
      <w:ind w:firstLine="0"/>
    </w:pPr>
  </w:style>
  <w:style w:type="paragraph" w:customStyle="1" w:styleId="ListNote">
    <w:name w:val="List Note"/>
    <w:basedOn w:val="List"/>
    <w:rsid w:val="009C7F8C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C7F8C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C7F8C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C7F8C"/>
    <w:rPr>
      <w:rFonts w:ascii="Courier New" w:hAnsi="Courier New"/>
    </w:rPr>
  </w:style>
  <w:style w:type="paragraph" w:customStyle="1" w:styleId="NoteBullet">
    <w:name w:val="Note Bullet"/>
    <w:basedOn w:val="Note"/>
    <w:rsid w:val="009C7F8C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C7F8C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C7F8C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C7F8C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C7F8C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C7F8C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C7F8C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C7F8C"/>
    <w:rPr>
      <w:b/>
      <w:smallCaps/>
    </w:rPr>
  </w:style>
  <w:style w:type="paragraph" w:customStyle="1" w:styleId="TableListNumber">
    <w:name w:val="Table List Number"/>
    <w:basedOn w:val="ListNumber"/>
    <w:rsid w:val="009C7F8C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C7F8C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C7F8C"/>
    <w:pPr>
      <w:numPr>
        <w:numId w:val="9"/>
      </w:numPr>
    </w:pPr>
  </w:style>
  <w:style w:type="paragraph" w:customStyle="1" w:styleId="ListAlpha2">
    <w:name w:val="List Alpha 2"/>
    <w:basedOn w:val="List2"/>
    <w:rsid w:val="009C7F8C"/>
    <w:pPr>
      <w:numPr>
        <w:numId w:val="8"/>
      </w:numPr>
    </w:pPr>
  </w:style>
  <w:style w:type="paragraph" w:styleId="List2">
    <w:name w:val="List 2"/>
    <w:basedOn w:val="BodyText"/>
    <w:rsid w:val="009C7F8C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C7F8C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C7F8C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C7F8C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C7F8C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C7F8C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C7F8C"/>
    <w:pPr>
      <w:numPr>
        <w:numId w:val="4"/>
      </w:numPr>
    </w:pPr>
  </w:style>
  <w:style w:type="paragraph" w:styleId="ListContinue2">
    <w:name w:val="List Continue 2"/>
    <w:basedOn w:val="List2"/>
    <w:rsid w:val="009C7F8C"/>
    <w:pPr>
      <w:ind w:firstLine="0"/>
    </w:pPr>
  </w:style>
  <w:style w:type="paragraph" w:styleId="ListContinue3">
    <w:name w:val="List Continue 3"/>
    <w:basedOn w:val="List3"/>
    <w:rsid w:val="009C7F8C"/>
    <w:pPr>
      <w:ind w:left="1021" w:firstLine="0"/>
    </w:pPr>
  </w:style>
  <w:style w:type="paragraph" w:styleId="ListContinue4">
    <w:name w:val="List Continue 4"/>
    <w:basedOn w:val="List4"/>
    <w:rsid w:val="009C7F8C"/>
    <w:pPr>
      <w:ind w:firstLine="0"/>
    </w:pPr>
  </w:style>
  <w:style w:type="paragraph" w:styleId="ListContinue5">
    <w:name w:val="List Continue 5"/>
    <w:basedOn w:val="List5"/>
    <w:rsid w:val="009C7F8C"/>
    <w:pPr>
      <w:ind w:firstLine="0"/>
    </w:pPr>
  </w:style>
  <w:style w:type="paragraph" w:styleId="ListNumber3">
    <w:name w:val="List Number 3"/>
    <w:basedOn w:val="List3"/>
    <w:rsid w:val="009C7F8C"/>
    <w:pPr>
      <w:numPr>
        <w:numId w:val="5"/>
      </w:numPr>
    </w:pPr>
  </w:style>
  <w:style w:type="paragraph" w:styleId="ListNumber4">
    <w:name w:val="List Number 4"/>
    <w:basedOn w:val="List4"/>
    <w:rsid w:val="009C7F8C"/>
    <w:pPr>
      <w:numPr>
        <w:numId w:val="6"/>
      </w:numPr>
    </w:pPr>
  </w:style>
  <w:style w:type="paragraph" w:styleId="ListNumber5">
    <w:name w:val="List Number 5"/>
    <w:basedOn w:val="List5"/>
    <w:rsid w:val="009C7F8C"/>
    <w:pPr>
      <w:numPr>
        <w:numId w:val="7"/>
      </w:numPr>
    </w:pPr>
  </w:style>
  <w:style w:type="paragraph" w:styleId="BlockText">
    <w:name w:val="Block Text"/>
    <w:basedOn w:val="Normal"/>
    <w:rsid w:val="009C7F8C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C7F8C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C7F8C"/>
    <w:rPr>
      <w:sz w:val="16"/>
      <w:vertAlign w:val="superscript"/>
    </w:rPr>
  </w:style>
  <w:style w:type="character" w:customStyle="1" w:styleId="Symbols">
    <w:name w:val="Symbols"/>
    <w:basedOn w:val="DefaultParagraphFont"/>
    <w:rsid w:val="009C7F8C"/>
    <w:rPr>
      <w:rFonts w:ascii="Symbol" w:hAnsi="Symbol"/>
    </w:rPr>
  </w:style>
  <w:style w:type="character" w:customStyle="1" w:styleId="MenuOptions">
    <w:name w:val="Menu Options"/>
    <w:basedOn w:val="DefaultParagraphFont"/>
    <w:rsid w:val="009C7F8C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C7F8C"/>
    <w:rPr>
      <w:b/>
    </w:rPr>
  </w:style>
  <w:style w:type="character" w:customStyle="1" w:styleId="Underlined">
    <w:name w:val="Underlined"/>
    <w:basedOn w:val="DefaultParagraphFont"/>
    <w:rsid w:val="009C7F8C"/>
    <w:rPr>
      <w:u w:val="single"/>
    </w:rPr>
  </w:style>
  <w:style w:type="paragraph" w:customStyle="1" w:styleId="TableBodyTextRight">
    <w:name w:val="Table Body Text Right"/>
    <w:basedOn w:val="TableBodyText"/>
    <w:rsid w:val="009C7F8C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C7F8C"/>
    <w:rPr>
      <w:sz w:val="18"/>
    </w:rPr>
  </w:style>
  <w:style w:type="paragraph" w:customStyle="1" w:styleId="BodySmallRight">
    <w:name w:val="Body Small Right"/>
    <w:basedOn w:val="BodyTextRight"/>
    <w:rsid w:val="009C7F8C"/>
    <w:rPr>
      <w:sz w:val="18"/>
      <w:szCs w:val="18"/>
    </w:rPr>
  </w:style>
  <w:style w:type="paragraph" w:customStyle="1" w:styleId="MarginEdition">
    <w:name w:val="Margin Edition"/>
    <w:basedOn w:val="MarginNote"/>
    <w:rsid w:val="009C7F8C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C7F8C"/>
    <w:rPr>
      <w:sz w:val="2"/>
      <w:szCs w:val="2"/>
    </w:rPr>
  </w:style>
  <w:style w:type="character" w:customStyle="1" w:styleId="Small">
    <w:name w:val="Small"/>
    <w:basedOn w:val="DefaultParagraphFont"/>
    <w:rsid w:val="009C7F8C"/>
    <w:rPr>
      <w:sz w:val="16"/>
    </w:rPr>
  </w:style>
  <w:style w:type="paragraph" w:customStyle="1" w:styleId="WideTable">
    <w:name w:val="Wide Table"/>
    <w:basedOn w:val="Normal"/>
    <w:rsid w:val="009C7F8C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C7F8C"/>
  </w:style>
  <w:style w:type="paragraph" w:styleId="Quote">
    <w:name w:val="Quote"/>
    <w:basedOn w:val="Heading1"/>
    <w:link w:val="QuoteChar"/>
    <w:qFormat/>
    <w:rsid w:val="009C7F8C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C7F8C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C7F8C"/>
    <w:pPr>
      <w:pageBreakBefore/>
    </w:pPr>
  </w:style>
  <w:style w:type="paragraph" w:customStyle="1" w:styleId="Border">
    <w:name w:val="Border"/>
    <w:basedOn w:val="Normal"/>
    <w:qFormat/>
    <w:rsid w:val="009C7F8C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C7F8C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C7F8C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C7F8C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C7F8C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C7F8C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C7F8C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C7F8C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C7F8C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C7F8C"/>
    <w:rPr>
      <w:u w:val="single"/>
    </w:rPr>
  </w:style>
  <w:style w:type="character" w:customStyle="1" w:styleId="BoldandItalics">
    <w:name w:val="Bold and Italics"/>
    <w:qFormat/>
    <w:rsid w:val="009C7F8C"/>
    <w:rPr>
      <w:b/>
      <w:i/>
      <w:u w:val="none"/>
    </w:rPr>
  </w:style>
  <w:style w:type="paragraph" w:styleId="BalloonText">
    <w:name w:val="Balloon Text"/>
    <w:basedOn w:val="Normal"/>
    <w:link w:val="BalloonTextChar"/>
    <w:rsid w:val="009C7F8C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C7F8C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C7F8C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C7F8C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C7F8C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C7F8C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C7F8C"/>
    <w:pPr>
      <w:spacing w:before="0" w:after="0"/>
    </w:pPr>
  </w:style>
  <w:style w:type="paragraph" w:customStyle="1" w:styleId="BodyTextBold">
    <w:name w:val="Body Text Bold"/>
    <w:basedOn w:val="BodyText"/>
    <w:qFormat/>
    <w:rsid w:val="009C7F8C"/>
    <w:rPr>
      <w:b/>
    </w:rPr>
  </w:style>
  <w:style w:type="character" w:styleId="Hyperlink">
    <w:name w:val="Hyperlink"/>
    <w:basedOn w:val="DefaultParagraphFont"/>
    <w:uiPriority w:val="99"/>
    <w:unhideWhenUsed/>
    <w:rsid w:val="00C93FC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566</Words>
  <Characters>3423</Characters>
  <Application>Microsoft Office Word</Application>
  <DocSecurity>0</DocSecurity>
  <Lines>90</Lines>
  <Paragraphs>79</Paragraphs>
  <ScaleCrop>false</ScaleCrop>
  <Company>Author-it Software Corporation Ltd.</Company>
  <LinksUpToDate>false</LinksUpToDate>
  <CharactersWithSpaces>3910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ICPPRN3130 Set up for basic flexographic printing</dc:title>
  <dc:subject>Approved</dc:subject>
  <dc:creator>PwC’s Skills for Australia</dc:creator>
  <cp:keywords>Release: 1</cp:keywords>
  <dc:description>Review Date: 12 April 2008</dc:description>
  <cp:lastModifiedBy>HSD_TPCMSd.prod</cp:lastModifiedBy>
  <cp:revision>3</cp:revision>
  <dcterms:created xsi:type="dcterms:W3CDTF">2021-07-20T05:53:00Z</dcterms:created>
  <dcterms:modified xsi:type="dcterms:W3CDTF">2021-07-20T05:53:00Z</dcterms:modified>
</cp:coreProperties>
</file>