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004" w:rsidP="008D3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ICPPRN211 Mount and proof flexographic plates for basic printing</w:t>
      </w:r>
      <w:r>
        <w:fldChar w:fldCharType="end"/>
      </w:r>
    </w:p>
    <w:p w:rsidR="008D3004" w:rsidP="008D3004">
      <w:pPr>
        <w:pStyle w:val="Version"/>
        <w:sectPr w:rsidSect="00E20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5D2" w:rsidP="00E205D2">
      <w:pPr>
        <w:pStyle w:val="SuperHeading"/>
      </w:pPr>
      <w:r w:rsidRPr="00E205D2">
        <w:t>ICPPRN211 Mount and proof flexographic plates for basic printing</w:t>
      </w:r>
    </w:p>
    <w:p w:rsidR="00000000" w:rsidRPr="00E205D2" w:rsidP="00E205D2">
      <w:pPr>
        <w:pStyle w:val="Heading1"/>
      </w:pPr>
      <w:bookmarkStart w:id="1" w:name="O_683750"/>
      <w:bookmarkEnd w:id="1"/>
      <w:r w:rsidRPr="00E205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20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rPr>
                <w:rStyle w:val="SpecialBold"/>
              </w:rPr>
              <w:t>Comments</w:t>
            </w:r>
          </w:p>
        </w:tc>
      </w:tr>
      <w:tr w:rsidTr="00E20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t>This version first released with ICP Printing and Graphic Arts Training Package Version 1.0.</w:t>
            </w:r>
          </w:p>
        </w:tc>
      </w:tr>
    </w:tbl>
    <w:p w:rsidR="00000000" w:rsidRPr="00E205D2" w:rsidP="00E205D2">
      <w:pPr>
        <w:pStyle w:val="BodyText"/>
      </w:pPr>
    </w:p>
    <w:p w:rsidR="00000000" w:rsidRPr="00E205D2" w:rsidP="00E205D2">
      <w:pPr>
        <w:pStyle w:val="AllowPageBreak"/>
      </w:pPr>
    </w:p>
    <w:p w:rsidR="00000000" w:rsidRPr="00E205D2" w:rsidP="00E205D2">
      <w:pPr>
        <w:pStyle w:val="Heading1"/>
      </w:pPr>
      <w:bookmarkStart w:id="2" w:name="O_683751"/>
      <w:bookmarkEnd w:id="2"/>
      <w:r w:rsidRPr="00E205D2">
        <w:t>Application</w:t>
      </w:r>
    </w:p>
    <w:p w:rsidR="00000000" w:rsidRPr="00E205D2" w:rsidP="008D3004">
      <w:pPr>
        <w:pStyle w:val="BodyText"/>
      </w:pPr>
      <w:r w:rsidRPr="00E205D2">
        <w:t>This unit describes the skills and knowledge required to prepare and mount flexographic plates and plate cylinders for routine printing including proofing plates and checking cylinders for registration.</w:t>
      </w:r>
    </w:p>
    <w:p w:rsidR="00000000" w:rsidRPr="00E205D2" w:rsidP="008D3004">
      <w:pPr>
        <w:pStyle w:val="BodyText"/>
      </w:pPr>
      <w:r w:rsidRPr="00E205D2">
        <w:t>It applies to individuals who work under direct supe</w:t>
      </w:r>
      <w:r w:rsidRPr="00E205D2">
        <w:t>rvision and perform a range of routine printing tasks in a defined context. The practical skills and operational knowledge required to perform these tasks is at a fundamental level.</w:t>
      </w:r>
    </w:p>
    <w:p w:rsidR="00000000" w:rsidRPr="00E205D2" w:rsidP="008D3004">
      <w:pPr>
        <w:pStyle w:val="BodyText"/>
      </w:pPr>
      <w:r w:rsidRPr="00E205D2">
        <w:t>No licensing, legislative or certification requirements apply to this uni</w:t>
      </w:r>
      <w:r w:rsidRPr="00E205D2">
        <w:t>t at the time of publication.</w:t>
      </w:r>
    </w:p>
    <w:p w:rsidR="00000000" w:rsidRPr="00E205D2" w:rsidP="00E205D2">
      <w:pPr>
        <w:pStyle w:val="Heading1"/>
      </w:pPr>
      <w:bookmarkStart w:id="3" w:name="O_683754"/>
      <w:bookmarkEnd w:id="3"/>
      <w:r w:rsidRPr="00E205D2">
        <w:t>Unit Sector</w:t>
      </w:r>
    </w:p>
    <w:p w:rsidR="00000000" w:rsidRPr="00E205D2" w:rsidP="008D3004">
      <w:pPr>
        <w:pStyle w:val="BodyText"/>
      </w:pPr>
      <w:r w:rsidRPr="00E205D2">
        <w:t>Printing</w:t>
      </w:r>
    </w:p>
    <w:p w:rsidR="00000000" w:rsidRPr="00E205D2" w:rsidP="00E205D2">
      <w:pPr>
        <w:pStyle w:val="Heading1"/>
      </w:pPr>
      <w:bookmarkStart w:id="4" w:name="O_683755"/>
      <w:bookmarkEnd w:id="4"/>
      <w:r w:rsidRPr="00E205D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205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rPr>
                <w:rStyle w:val="SpecialBold"/>
              </w:rPr>
              <w:t>PERFORMANCE CRITERIA</w:t>
            </w:r>
          </w:p>
        </w:tc>
      </w:tr>
      <w:tr w:rsidTr="00E205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rPr>
                <w:rStyle w:val="Emphasis"/>
              </w:rPr>
              <w:t>Performance criteria describe the performa</w:t>
            </w:r>
            <w:r w:rsidRPr="00E205D2">
              <w:rPr>
                <w:rStyle w:val="Emphasis"/>
              </w:rPr>
              <w:t>nce needed to demonstrate achievement of the element.</w:t>
            </w:r>
          </w:p>
        </w:tc>
      </w:tr>
      <w:tr w:rsidTr="00E205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1. Confirm routine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t xml:space="preserve">1.1 Job requirements are read and interpreted from job documentation or production control system </w:t>
            </w:r>
          </w:p>
          <w:p w:rsidR="00000000" w:rsidRPr="00E205D2" w:rsidP="00E205D2">
            <w:pPr>
              <w:pStyle w:val="BodyText"/>
            </w:pPr>
            <w:r w:rsidRPr="00E205D2">
              <w:t>1.2 Set up is carried out correctly in minimum time with minimum</w:t>
            </w:r>
            <w:r w:rsidRPr="00E205D2">
              <w:t xml:space="preserve"> wastage</w:t>
            </w:r>
          </w:p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1.3 Prior inspections are completed and signed off</w:t>
            </w:r>
          </w:p>
        </w:tc>
      </w:tr>
      <w:tr w:rsidTr="00E205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2. Prepare flexographic plates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t>2.1 Plate height and relief are measured</w:t>
            </w:r>
          </w:p>
          <w:p w:rsidR="00000000" w:rsidRPr="00E205D2" w:rsidP="00E205D2">
            <w:pPr>
              <w:pStyle w:val="BodyText"/>
            </w:pPr>
            <w:r w:rsidRPr="00E205D2">
              <w:t xml:space="preserve">2.2 Plates are trimmed and prepared according to mounting system requirements </w:t>
            </w:r>
          </w:p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2.3 Mounting adhesive is selected to achieve correct pitch circle diameter (PCD) of specified plate cylinders and gears</w:t>
            </w:r>
          </w:p>
        </w:tc>
      </w:tr>
      <w:tr w:rsidTr="00E205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t>3. Prepare plate cylinders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t xml:space="preserve">3.1 Plate cylinders/seamless sleeves are selected, cleaned and prepared </w:t>
            </w:r>
          </w:p>
          <w:p w:rsidR="00000000" w:rsidRPr="00E205D2" w:rsidP="00E205D2">
            <w:pPr>
              <w:pStyle w:val="BodyText"/>
            </w:pPr>
            <w:r w:rsidRPr="00E205D2">
              <w:t>3.2 Sleeves and correct gears on m</w:t>
            </w:r>
            <w:r w:rsidRPr="00E205D2">
              <w:t xml:space="preserve">andrels are selected, cleaned, prepared and mounted to meet routine job specifications </w:t>
            </w:r>
          </w:p>
          <w:p w:rsidR="00000000" w:rsidRPr="00E205D2" w:rsidP="00E205D2">
            <w:pPr>
              <w:pStyle w:val="BodyText"/>
            </w:pPr>
            <w:r w:rsidRPr="00E205D2">
              <w:t xml:space="preserve">3.3 Total indicated run-out (TIR) is checked as within specified tolerances on plate cylinders </w:t>
            </w:r>
          </w:p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 xml:space="preserve">3.4 Selected mounting adhesive is applied to plate cylinders </w:t>
            </w:r>
          </w:p>
        </w:tc>
      </w:tr>
      <w:tr w:rsidTr="00E205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 xml:space="preserve">4. Mount </w:t>
            </w:r>
            <w:r w:rsidRPr="00E205D2">
              <w:t>and proof flexographic plates on mounting/proofing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t xml:space="preserve">4.1 Plates are prepared and mounted on cylinders using pin mount or microdot systems or sleeves according to chart number/print direction </w:t>
            </w:r>
          </w:p>
          <w:p w:rsidR="00000000" w:rsidRPr="00E205D2" w:rsidP="00E205D2">
            <w:pPr>
              <w:pStyle w:val="BodyText"/>
            </w:pPr>
            <w:r w:rsidRPr="00E205D2">
              <w:t>4.2 Plate mounting sheet is prepared to meet routine job s</w:t>
            </w:r>
            <w:r w:rsidRPr="00E205D2">
              <w:t xml:space="preserve">pecifications </w:t>
            </w:r>
          </w:p>
          <w:p w:rsidR="00000000" w:rsidRPr="00E205D2" w:rsidP="00E205D2">
            <w:pPr>
              <w:pStyle w:val="BodyText"/>
            </w:pPr>
            <w:r w:rsidRPr="00E205D2">
              <w:t xml:space="preserve">4.3 Plates are mounted to position on plate mounting sheet or camera targets </w:t>
            </w:r>
          </w:p>
          <w:p w:rsidR="00000000" w:rsidRPr="00E205D2" w:rsidP="00E205D2">
            <w:pPr>
              <w:pStyle w:val="BodyText"/>
            </w:pPr>
            <w:r w:rsidRPr="00E205D2">
              <w:t>4.4 Plate mounting sheet is installed and tensioned onto plate cylinder to specified chart number/print direction</w:t>
            </w:r>
          </w:p>
          <w:p w:rsidR="00000000" w:rsidRPr="00E205D2" w:rsidP="00E205D2">
            <w:pPr>
              <w:pStyle w:val="BodyText"/>
            </w:pPr>
            <w:r w:rsidRPr="00E205D2">
              <w:t>4.5 Plates are proofed and each plate cylinder is</w:t>
            </w:r>
            <w:r w:rsidRPr="00E205D2">
              <w:t xml:space="preserve"> checked for register</w:t>
            </w:r>
          </w:p>
          <w:p w:rsidR="00000000" w:rsidRPr="00E205D2" w:rsidP="00E205D2">
            <w:pPr>
              <w:pStyle w:val="BodyText"/>
            </w:pPr>
            <w:r w:rsidRPr="00E205D2">
              <w:t xml:space="preserve">4.6 Flexographic plates are trimmed and taped down according to printing press requirements </w:t>
            </w:r>
          </w:p>
        </w:tc>
      </w:tr>
    </w:tbl>
    <w:p w:rsidR="00000000" w:rsidRPr="00E205D2" w:rsidP="00E205D2">
      <w:pPr>
        <w:pStyle w:val="BodyText"/>
      </w:pPr>
    </w:p>
    <w:p w:rsidR="00000000" w:rsidRPr="00E205D2" w:rsidP="00E205D2">
      <w:pPr>
        <w:pStyle w:val="AllowPageBreak"/>
      </w:pPr>
    </w:p>
    <w:p w:rsidR="00000000" w:rsidRPr="00E205D2" w:rsidP="00E205D2">
      <w:pPr>
        <w:pStyle w:val="Heading1"/>
      </w:pPr>
      <w:bookmarkStart w:id="5" w:name="O_683756"/>
      <w:bookmarkEnd w:id="5"/>
      <w:r w:rsidRPr="00E205D2">
        <w:t>Foundation Skills</w:t>
      </w:r>
    </w:p>
    <w:p w:rsidR="00000000" w:rsidRPr="00E205D2" w:rsidP="008D3004">
      <w:pPr>
        <w:pStyle w:val="BodyText"/>
      </w:pPr>
      <w:r w:rsidRPr="00E205D2"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20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rPr>
                <w:rStyle w:val="SpecialBold"/>
              </w:rPr>
              <w:t>Description</w:t>
            </w:r>
          </w:p>
        </w:tc>
      </w:tr>
      <w:tr w:rsidTr="00E20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1.1, 2.2, 3.2, 3.3, 4.2, 4.4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ListBullet"/>
              <w:rPr>
                <w:lang w:val="en-NZ"/>
              </w:rPr>
            </w:pPr>
            <w:r w:rsidRPr="00E205D2">
              <w:t>Recognises and int</w:t>
            </w:r>
            <w:r w:rsidRPr="00E205D2">
              <w:t>erprets text to establish job requirements from information contained within relevant procedures and specifications</w:t>
            </w:r>
          </w:p>
        </w:tc>
      </w:tr>
      <w:tr w:rsidTr="00E20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ListBullet"/>
              <w:rPr>
                <w:lang w:val="en-NZ"/>
              </w:rPr>
            </w:pPr>
            <w:r w:rsidRPr="00E205D2">
              <w:t>Completes workplace forms accurately</w:t>
            </w:r>
          </w:p>
        </w:tc>
      </w:tr>
      <w:tr w:rsidTr="00E20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1.1, 1.3, 3.2, 3.3, 4.2, 4.4, 4.6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ListBullet"/>
              <w:rPr>
                <w:lang w:val="en-NZ"/>
              </w:rPr>
            </w:pPr>
            <w:r w:rsidRPr="00E205D2">
              <w:t>Participates effectively in spoken interactions by using strategies to confirm, clarify or repair understanding</w:t>
            </w:r>
          </w:p>
        </w:tc>
      </w:tr>
      <w:tr w:rsidTr="00E20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ListBullet"/>
              <w:rPr>
                <w:lang w:val="en-NZ"/>
              </w:rPr>
            </w:pPr>
            <w:r w:rsidRPr="00E205D2">
              <w:t>Interprets and analyses a range of mathematical information used in familiar and routine tasks</w:t>
            </w:r>
          </w:p>
        </w:tc>
      </w:tr>
      <w:tr w:rsidTr="00E20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1.1-1.</w:t>
            </w:r>
            <w:r w:rsidRPr="00E205D2">
              <w:t>3, 2.2, 2.3, 3.1-3.3, 4.1, 4.2, 4.4, 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ListBullet"/>
            </w:pPr>
            <w:r w:rsidRPr="00E205D2">
              <w:t>Recognises and follows explicit and implicit protocols and meets expectations associated with own role</w:t>
            </w:r>
          </w:p>
          <w:p w:rsidR="00000000" w:rsidP="00E205D2">
            <w:pPr>
              <w:pStyle w:val="ListBullet"/>
              <w:rPr>
                <w:lang w:val="en-NZ"/>
              </w:rPr>
            </w:pPr>
            <w:r w:rsidRPr="00E205D2">
              <w:t>Complies with legislative requirements, and follows organisational policies and procedures relevant to own role</w:t>
            </w:r>
          </w:p>
        </w:tc>
      </w:tr>
      <w:tr w:rsidTr="00E20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1.1, 3.2, 3.3, 4.2, 4.4, 4.6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ListBullet"/>
              <w:rPr>
                <w:lang w:val="en-NZ"/>
              </w:rPr>
            </w:pPr>
            <w:r w:rsidRPr="00E205D2">
              <w:t>Seeks to cooperate with others to achieve results in immediate work context</w:t>
            </w:r>
          </w:p>
        </w:tc>
      </w:tr>
      <w:tr w:rsidTr="00E20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1.2, 2.2, 2.3, 3.1, 3.2, 3.4, 4.1-4.6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ListBullet"/>
            </w:pPr>
            <w:r w:rsidRPr="00E205D2">
              <w:t xml:space="preserve">With assistance, determines priorities and sequences steps involved in clearly defined, familiar tasks and identifies and assembles required resources </w:t>
            </w:r>
          </w:p>
          <w:p w:rsidR="00000000" w:rsidRPr="00E205D2" w:rsidP="00E205D2">
            <w:pPr>
              <w:pStyle w:val="ListBullet"/>
            </w:pPr>
            <w:r w:rsidRPr="00E205D2">
              <w:t>Responds to predictable problems and implements standard or logical solutions related to role in immedia</w:t>
            </w:r>
            <w:r w:rsidRPr="00E205D2">
              <w:t>te work environment</w:t>
            </w:r>
          </w:p>
          <w:p w:rsidR="00000000" w:rsidRPr="00E205D2" w:rsidP="00E205D2">
            <w:pPr>
              <w:pStyle w:val="ListBullet"/>
            </w:pPr>
            <w:r w:rsidRPr="00E205D2">
              <w:t>Reads data from electronic monitoring and control systems</w:t>
            </w:r>
          </w:p>
        </w:tc>
      </w:tr>
    </w:tbl>
    <w:p w:rsidR="00000000" w:rsidRPr="00E205D2" w:rsidP="00E205D2">
      <w:pPr>
        <w:pStyle w:val="BodyText"/>
      </w:pPr>
    </w:p>
    <w:p w:rsidR="00000000" w:rsidRPr="00E205D2" w:rsidP="00E205D2">
      <w:pPr>
        <w:pStyle w:val="AllowPageBreak"/>
      </w:pPr>
    </w:p>
    <w:p w:rsidR="00000000" w:rsidRPr="00E205D2" w:rsidP="00E205D2">
      <w:pPr>
        <w:pStyle w:val="Heading1"/>
      </w:pPr>
      <w:bookmarkStart w:id="6" w:name="O_683758"/>
      <w:bookmarkEnd w:id="6"/>
      <w:r w:rsidRPr="00E205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20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rPr>
                <w:rStyle w:val="SpecialBold"/>
              </w:rPr>
              <w:t xml:space="preserve">Code and title </w:t>
            </w:r>
          </w:p>
          <w:p w:rsidR="00000000" w:rsidRPr="00E205D2" w:rsidP="00E205D2">
            <w:pPr>
              <w:pStyle w:val="BodyText"/>
            </w:pPr>
            <w:r w:rsidRPr="00E205D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rPr>
                <w:rStyle w:val="SpecialBold"/>
              </w:rPr>
              <w:t>Code and title</w:t>
            </w:r>
          </w:p>
          <w:p w:rsidR="00000000" w:rsidRPr="00E205D2" w:rsidP="00E205D2">
            <w:pPr>
              <w:pStyle w:val="BodyText"/>
            </w:pPr>
            <w:r w:rsidRPr="00E205D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rPr>
                <w:rStyle w:val="SpecialBold"/>
              </w:rPr>
              <w:t>Equivalence status</w:t>
            </w:r>
          </w:p>
        </w:tc>
      </w:tr>
      <w:tr w:rsidTr="00E20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ICPPRN211 Mount and proof flexographic plates for basic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ICPPR211C Mount and proof flexographic plates for basic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5D2">
            <w:pPr>
              <w:pStyle w:val="BodyText"/>
              <w:rPr>
                <w:lang w:val="en-NZ"/>
              </w:rPr>
            </w:pPr>
            <w:r w:rsidRPr="00E205D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5D2" w:rsidP="00E205D2">
            <w:pPr>
              <w:pStyle w:val="BodyText"/>
            </w:pPr>
            <w:r w:rsidRPr="00E205D2">
              <w:t>Equivalent unit</w:t>
            </w:r>
          </w:p>
        </w:tc>
      </w:tr>
    </w:tbl>
    <w:p w:rsidR="00000000" w:rsidRPr="00E205D2" w:rsidP="00E205D2">
      <w:pPr>
        <w:pStyle w:val="BodyText"/>
      </w:pPr>
    </w:p>
    <w:p w:rsidR="00000000" w:rsidRPr="00E205D2" w:rsidP="00E205D2">
      <w:pPr>
        <w:pStyle w:val="AllowPageBreak"/>
      </w:pPr>
    </w:p>
    <w:p w:rsidR="00000000" w:rsidRPr="00E205D2" w:rsidP="00E205D2">
      <w:pPr>
        <w:pStyle w:val="Heading1"/>
      </w:pPr>
      <w:bookmarkStart w:id="7" w:name="O_683765"/>
      <w:bookmarkEnd w:id="7"/>
      <w:r w:rsidRPr="00E205D2">
        <w:t>Links</w:t>
      </w:r>
    </w:p>
    <w:p w:rsidR="00000000" w:rsidRPr="00E205D2" w:rsidP="008D3004">
      <w:pPr>
        <w:pStyle w:val="BodyText"/>
      </w:pPr>
      <w:r w:rsidRPr="00E205D2">
        <w:t>Companion Volume implementation guide</w:t>
      </w:r>
      <w:r w:rsidRPr="00E205D2">
        <w:t xml:space="preserve">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5418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205D2" w:rsidP="00E205D2"/>
    <w:sectPr w:rsidSect="00E205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D2" w:rsidRPr="008D3004" w:rsidP="008D3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004" w:rsidP="00E20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004" w:rsidP="00E20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3004" w:rsidP="00E20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5D2" w:rsidRPr="008D3004" w:rsidP="008D3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004" w:rsidRPr="002D2AF8" w:rsidP="00E20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ICPPRN211 Mount and proof flexographic plates for basic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8D3004" w:rsidP="00E20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A46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C895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5D2"/>
  </w:style>
  <w:style w:type="character" w:customStyle="1" w:styleId="Heading1Char">
    <w:name w:val="Heading 1 Char"/>
    <w:basedOn w:val="DefaultParagraphFont"/>
    <w:link w:val="Heading1"/>
    <w:rsid w:val="00E20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5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5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5D2"/>
    <w:rPr>
      <w:b/>
      <w:spacing w:val="0"/>
    </w:rPr>
  </w:style>
  <w:style w:type="character" w:styleId="Emphasis">
    <w:name w:val="Emphasis"/>
    <w:basedOn w:val="DefaultParagraphFont"/>
    <w:qFormat/>
    <w:rsid w:val="00E205D2"/>
    <w:rPr>
      <w:i/>
    </w:rPr>
  </w:style>
  <w:style w:type="paragraph" w:customStyle="1" w:styleId="SuperHeading">
    <w:name w:val="SuperHeading"/>
    <w:basedOn w:val="Normal"/>
    <w:rsid w:val="00E20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5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5D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5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0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5D2"/>
  </w:style>
  <w:style w:type="paragraph" w:styleId="TableofFigures">
    <w:name w:val="table of figures"/>
    <w:basedOn w:val="Normal"/>
    <w:next w:val="Normal"/>
    <w:semiHidden/>
    <w:rsid w:val="00E20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5D2"/>
    <w:pPr>
      <w:numPr>
        <w:numId w:val="10"/>
      </w:numPr>
    </w:pPr>
  </w:style>
  <w:style w:type="character" w:customStyle="1" w:styleId="WingdingSymbols">
    <w:name w:val="Wingding Symbols"/>
    <w:rsid w:val="00E205D2"/>
    <w:rPr>
      <w:rFonts w:ascii="Wingdings" w:hAnsi="Wingdings"/>
    </w:rPr>
  </w:style>
  <w:style w:type="paragraph" w:customStyle="1" w:styleId="TableHeading">
    <w:name w:val="Table Heading"/>
    <w:basedOn w:val="HeadingBase"/>
    <w:rsid w:val="00E20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5D2"/>
    <w:rPr>
      <w:color w:val="0033CC"/>
      <w:u w:val="none"/>
    </w:rPr>
  </w:style>
  <w:style w:type="paragraph" w:customStyle="1" w:styleId="BodyTextRight">
    <w:name w:val="Body Text Right"/>
    <w:basedOn w:val="BodyText"/>
    <w:rsid w:val="00E20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5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5D2"/>
    <w:rPr>
      <w:sz w:val="32"/>
    </w:rPr>
  </w:style>
  <w:style w:type="paragraph" w:customStyle="1" w:styleId="HeadingProcedure">
    <w:name w:val="Heading Procedure"/>
    <w:basedOn w:val="HeadingBase"/>
    <w:next w:val="Normal"/>
    <w:rsid w:val="00E20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5D2"/>
    <w:pPr>
      <w:spacing w:before="60" w:after="60"/>
    </w:pPr>
  </w:style>
  <w:style w:type="paragraph" w:styleId="ListContinue">
    <w:name w:val="List Continue"/>
    <w:basedOn w:val="List"/>
    <w:rsid w:val="00E205D2"/>
    <w:pPr>
      <w:ind w:firstLine="0"/>
    </w:pPr>
  </w:style>
  <w:style w:type="paragraph" w:customStyle="1" w:styleId="ListNote">
    <w:name w:val="List Note"/>
    <w:basedOn w:val="List"/>
    <w:rsid w:val="00E20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5D2"/>
    <w:rPr>
      <w:rFonts w:ascii="Courier New" w:hAnsi="Courier New"/>
    </w:rPr>
  </w:style>
  <w:style w:type="paragraph" w:customStyle="1" w:styleId="NoteBullet">
    <w:name w:val="Note Bullet"/>
    <w:basedOn w:val="Note"/>
    <w:rsid w:val="00E20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5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0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5D2"/>
    <w:rPr>
      <w:b/>
      <w:smallCaps/>
    </w:rPr>
  </w:style>
  <w:style w:type="paragraph" w:customStyle="1" w:styleId="TableListNumber">
    <w:name w:val="Table List Number"/>
    <w:basedOn w:val="ListNumber"/>
    <w:rsid w:val="00E20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5D2"/>
    <w:pPr>
      <w:numPr>
        <w:numId w:val="8"/>
      </w:numPr>
    </w:pPr>
  </w:style>
  <w:style w:type="paragraph" w:customStyle="1" w:styleId="ListAlpha2">
    <w:name w:val="List Alpha 2"/>
    <w:basedOn w:val="List2"/>
    <w:rsid w:val="00E205D2"/>
    <w:pPr>
      <w:numPr>
        <w:numId w:val="7"/>
      </w:numPr>
    </w:pPr>
  </w:style>
  <w:style w:type="paragraph" w:styleId="List2">
    <w:name w:val="List 2"/>
    <w:basedOn w:val="BodyText"/>
    <w:rsid w:val="00E20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5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5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05D2"/>
    <w:pPr>
      <w:numPr>
        <w:numId w:val="3"/>
      </w:numPr>
    </w:pPr>
  </w:style>
  <w:style w:type="paragraph" w:styleId="ListContinue2">
    <w:name w:val="List Continue 2"/>
    <w:basedOn w:val="List2"/>
    <w:rsid w:val="00E205D2"/>
    <w:pPr>
      <w:ind w:firstLine="0"/>
    </w:pPr>
  </w:style>
  <w:style w:type="paragraph" w:styleId="ListContinue3">
    <w:name w:val="List Continue 3"/>
    <w:basedOn w:val="List3"/>
    <w:rsid w:val="00E205D2"/>
    <w:pPr>
      <w:ind w:left="1021" w:firstLine="0"/>
    </w:pPr>
  </w:style>
  <w:style w:type="paragraph" w:styleId="ListContinue4">
    <w:name w:val="List Continue 4"/>
    <w:basedOn w:val="List4"/>
    <w:rsid w:val="00E205D2"/>
    <w:pPr>
      <w:ind w:firstLine="0"/>
    </w:pPr>
  </w:style>
  <w:style w:type="paragraph" w:styleId="ListContinue5">
    <w:name w:val="List Continue 5"/>
    <w:basedOn w:val="List5"/>
    <w:rsid w:val="00E205D2"/>
    <w:pPr>
      <w:ind w:firstLine="0"/>
    </w:pPr>
  </w:style>
  <w:style w:type="paragraph" w:styleId="ListNumber3">
    <w:name w:val="List Number 3"/>
    <w:basedOn w:val="List3"/>
    <w:rsid w:val="00E205D2"/>
    <w:pPr>
      <w:numPr>
        <w:numId w:val="4"/>
      </w:numPr>
    </w:pPr>
  </w:style>
  <w:style w:type="paragraph" w:styleId="ListNumber4">
    <w:name w:val="List Number 4"/>
    <w:basedOn w:val="List4"/>
    <w:rsid w:val="00E205D2"/>
    <w:pPr>
      <w:numPr>
        <w:numId w:val="5"/>
      </w:numPr>
    </w:pPr>
  </w:style>
  <w:style w:type="paragraph" w:styleId="ListNumber5">
    <w:name w:val="List Number 5"/>
    <w:basedOn w:val="List5"/>
    <w:rsid w:val="00E205D2"/>
    <w:pPr>
      <w:numPr>
        <w:numId w:val="6"/>
      </w:numPr>
    </w:pPr>
  </w:style>
  <w:style w:type="paragraph" w:styleId="BlockText">
    <w:name w:val="Block Text"/>
    <w:basedOn w:val="Normal"/>
    <w:rsid w:val="00E20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5D2"/>
    <w:rPr>
      <w:sz w:val="16"/>
      <w:vertAlign w:val="superscript"/>
    </w:rPr>
  </w:style>
  <w:style w:type="character" w:customStyle="1" w:styleId="Symbols">
    <w:name w:val="Symbols"/>
    <w:basedOn w:val="DefaultParagraphFont"/>
    <w:rsid w:val="00E205D2"/>
    <w:rPr>
      <w:rFonts w:ascii="Symbol" w:hAnsi="Symbol"/>
    </w:rPr>
  </w:style>
  <w:style w:type="character" w:customStyle="1" w:styleId="MenuOptions">
    <w:name w:val="Menu Options"/>
    <w:basedOn w:val="DefaultParagraphFont"/>
    <w:rsid w:val="00E20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5D2"/>
    <w:rPr>
      <w:b/>
    </w:rPr>
  </w:style>
  <w:style w:type="character" w:customStyle="1" w:styleId="Underlined">
    <w:name w:val="Underlined"/>
    <w:basedOn w:val="DefaultParagraphFont"/>
    <w:rsid w:val="00E205D2"/>
    <w:rPr>
      <w:u w:val="single"/>
    </w:rPr>
  </w:style>
  <w:style w:type="paragraph" w:customStyle="1" w:styleId="TableBodyTextRight">
    <w:name w:val="Table Body Text Right"/>
    <w:basedOn w:val="TableBodyText"/>
    <w:rsid w:val="00E20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5D2"/>
    <w:rPr>
      <w:sz w:val="18"/>
    </w:rPr>
  </w:style>
  <w:style w:type="paragraph" w:customStyle="1" w:styleId="BodySmallRight">
    <w:name w:val="Body Small Right"/>
    <w:basedOn w:val="BodyTextRight"/>
    <w:rsid w:val="00E205D2"/>
    <w:rPr>
      <w:sz w:val="18"/>
      <w:szCs w:val="18"/>
    </w:rPr>
  </w:style>
  <w:style w:type="paragraph" w:customStyle="1" w:styleId="MarginEdition">
    <w:name w:val="Margin Edition"/>
    <w:basedOn w:val="MarginNote"/>
    <w:rsid w:val="00E20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5D2"/>
    <w:rPr>
      <w:sz w:val="2"/>
      <w:szCs w:val="2"/>
    </w:rPr>
  </w:style>
  <w:style w:type="character" w:customStyle="1" w:styleId="Small">
    <w:name w:val="Small"/>
    <w:basedOn w:val="DefaultParagraphFont"/>
    <w:rsid w:val="00E205D2"/>
    <w:rPr>
      <w:sz w:val="16"/>
    </w:rPr>
  </w:style>
  <w:style w:type="paragraph" w:customStyle="1" w:styleId="WideTable">
    <w:name w:val="Wide Table"/>
    <w:basedOn w:val="Normal"/>
    <w:rsid w:val="00E20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5D2"/>
  </w:style>
  <w:style w:type="paragraph" w:styleId="Quote">
    <w:name w:val="Quote"/>
    <w:basedOn w:val="Heading1"/>
    <w:link w:val="QuoteChar"/>
    <w:qFormat/>
    <w:rsid w:val="00E20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5D2"/>
    <w:pPr>
      <w:pageBreakBefore/>
    </w:pPr>
  </w:style>
  <w:style w:type="paragraph" w:customStyle="1" w:styleId="Border">
    <w:name w:val="Border"/>
    <w:basedOn w:val="Normal"/>
    <w:qFormat/>
    <w:rsid w:val="00E20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5D2"/>
    <w:rPr>
      <w:u w:val="single"/>
    </w:rPr>
  </w:style>
  <w:style w:type="character" w:customStyle="1" w:styleId="BoldandItalics">
    <w:name w:val="Bold and Italics"/>
    <w:qFormat/>
    <w:rsid w:val="00E205D2"/>
    <w:rPr>
      <w:b/>
      <w:i/>
      <w:u w:val="none"/>
    </w:rPr>
  </w:style>
  <w:style w:type="paragraph" w:styleId="BalloonText">
    <w:name w:val="Balloon Text"/>
    <w:basedOn w:val="Normal"/>
    <w:link w:val="BalloonTextChar"/>
    <w:rsid w:val="00E20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5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3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4128</Characters>
  <Application>Microsoft Office Word</Application>
  <DocSecurity>0</DocSecurity>
  <Lines>172</Lines>
  <Paragraphs>97</Paragraphs>
  <ScaleCrop>false</ScaleCrop>
  <Company>Author-it Software Corporation Ltd.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ICPPRN211 Mount and proof flexographic plates for basic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2018-12-10T06:52:00Z</dcterms:created>
  <dcterms:modified xsi:type="dcterms:W3CDTF">2018-12-10T06:52:00Z</dcterms:modified>
</cp:coreProperties>
</file>