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2D2" w:rsidP="005712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ICPPRN211 Mount and proof flexographic plates for basic printing</w:t>
      </w:r>
      <w:r>
        <w:fldChar w:fldCharType="end"/>
      </w:r>
    </w:p>
    <w:p w:rsidR="005712D2" w:rsidP="005712D2">
      <w:pPr>
        <w:pStyle w:val="Version"/>
        <w:sectPr w:rsidSect="00A93C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CB6" w:rsidP="00A93CB6">
      <w:pPr>
        <w:pStyle w:val="SuperHeading"/>
      </w:pPr>
      <w:r w:rsidRPr="00A93CB6">
        <w:t>Assessment Requirements for ICPPRN211 Mount and proof flexographic plates for basic printing</w:t>
      </w:r>
    </w:p>
    <w:p w:rsidR="00000000" w:rsidRPr="00A93CB6" w:rsidP="00A93CB6">
      <w:pPr>
        <w:pStyle w:val="Heading1"/>
      </w:pPr>
      <w:bookmarkStart w:id="1" w:name="O_683760"/>
      <w:bookmarkEnd w:id="1"/>
      <w:r w:rsidRPr="00A93C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9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CB6" w:rsidP="00A93CB6">
            <w:pPr>
              <w:pStyle w:val="BodyText"/>
            </w:pPr>
            <w:r w:rsidRPr="00A93C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CB6">
            <w:pPr>
              <w:pStyle w:val="BodyText"/>
              <w:rPr>
                <w:lang w:val="en-NZ"/>
              </w:rPr>
            </w:pPr>
            <w:r w:rsidRPr="00A93CB6">
              <w:rPr>
                <w:rStyle w:val="SpecialBold"/>
              </w:rPr>
              <w:t>Comments</w:t>
            </w:r>
          </w:p>
        </w:tc>
      </w:tr>
      <w:tr w:rsidTr="00A93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CB6">
            <w:pPr>
              <w:pStyle w:val="BodyText"/>
              <w:rPr>
                <w:lang w:val="en-NZ"/>
              </w:rPr>
            </w:pPr>
            <w:r w:rsidRPr="00A93C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CB6" w:rsidP="00A93CB6">
            <w:pPr>
              <w:pStyle w:val="BodyText"/>
            </w:pPr>
            <w:r w:rsidRPr="00A93CB6">
              <w:t>This version first released with ICP Printing and Graphic Arts Training Package Version 1.0.</w:t>
            </w:r>
          </w:p>
        </w:tc>
      </w:tr>
    </w:tbl>
    <w:p w:rsidR="00000000" w:rsidRPr="00A93CB6" w:rsidP="00A93CB6">
      <w:pPr>
        <w:pStyle w:val="BodyText"/>
      </w:pPr>
    </w:p>
    <w:p w:rsidR="00000000" w:rsidRPr="00A93CB6" w:rsidP="00A93CB6">
      <w:pPr>
        <w:pStyle w:val="AllowPageBreak"/>
      </w:pPr>
    </w:p>
    <w:p w:rsidR="00000000" w:rsidRPr="00A93CB6" w:rsidP="00A93CB6">
      <w:pPr>
        <w:pStyle w:val="Heading1"/>
      </w:pPr>
      <w:bookmarkStart w:id="2" w:name="O_683761"/>
      <w:bookmarkEnd w:id="2"/>
      <w:r w:rsidRPr="00A93CB6">
        <w:t>Performance Evidence</w:t>
      </w:r>
    </w:p>
    <w:p w:rsidR="00000000" w:rsidRPr="00A93CB6" w:rsidP="005712D2">
      <w:pPr>
        <w:pStyle w:val="BodyText"/>
      </w:pPr>
      <w:r w:rsidRPr="00A93CB6">
        <w:t>Evidence of the ability to:</w:t>
      </w:r>
    </w:p>
    <w:p w:rsidR="00000000" w:rsidRPr="00A93CB6" w:rsidP="00A93CB6">
      <w:pPr>
        <w:pStyle w:val="ListBullet"/>
      </w:pPr>
      <w:r w:rsidRPr="00A93CB6">
        <w:t>prepare flexographic plates and plate cylinders on TWO occasions for basic jobs and mount these according to the selected mounting system (as specified on job documentation or production con</w:t>
      </w:r>
      <w:r w:rsidRPr="00A93CB6">
        <w:t>trol system) according to enterprise procedures (mounting can be on either proofing machine or printing press)</w:t>
      </w:r>
    </w:p>
    <w:p w:rsidR="00000000" w:rsidRPr="00A93CB6" w:rsidP="00A93CB6">
      <w:pPr>
        <w:pStyle w:val="ListBullet"/>
      </w:pPr>
      <w:r w:rsidRPr="00A93CB6">
        <w:t>proof plates and check plate cylinder registration of the flexographic plates mounted on the proofing machine for this purpose on TWO occasions f</w:t>
      </w:r>
      <w:r w:rsidRPr="00A93CB6">
        <w:t>or basic jobs</w:t>
      </w:r>
    </w:p>
    <w:p w:rsidR="00000000" w:rsidRPr="00A93CB6" w:rsidP="00A93CB6">
      <w:pPr>
        <w:pStyle w:val="ListBullet"/>
      </w:pPr>
      <w:r w:rsidRPr="00A93CB6">
        <w:t>find and use information relevant to the task from a variety of information sources</w:t>
      </w:r>
    </w:p>
    <w:p w:rsidR="00000000" w:rsidRPr="00A93CB6" w:rsidP="00A93CB6">
      <w:pPr>
        <w:pStyle w:val="ListBullet"/>
      </w:pPr>
      <w:r w:rsidRPr="00A93CB6">
        <w:t>safely operate tools and machinery (such as safely switching off machinery before cleaning is started and using of any cleaning chemicals safely).</w:t>
      </w:r>
    </w:p>
    <w:p w:rsidR="00000000" w:rsidRPr="00A93CB6" w:rsidP="00A93CB6">
      <w:pPr>
        <w:pStyle w:val="BodyText"/>
      </w:pPr>
    </w:p>
    <w:p w:rsidR="00000000" w:rsidRPr="00A93CB6" w:rsidP="005712D2">
      <w:pPr>
        <w:pStyle w:val="BodyText"/>
      </w:pPr>
      <w:r w:rsidRPr="00A93CB6">
        <w:t>Note: If a specific volume or frequency is not stated, then evidence must be provided at least once.</w:t>
      </w:r>
    </w:p>
    <w:p w:rsidR="00000000" w:rsidRPr="00A93CB6" w:rsidP="00A93CB6">
      <w:pPr>
        <w:pStyle w:val="Heading1"/>
      </w:pPr>
      <w:bookmarkStart w:id="3" w:name="O_683762"/>
      <w:bookmarkEnd w:id="3"/>
      <w:r w:rsidRPr="00A93CB6">
        <w:t>Knowledge Evidence</w:t>
      </w:r>
    </w:p>
    <w:p w:rsidR="00000000" w:rsidRPr="00A93CB6" w:rsidP="005712D2">
      <w:pPr>
        <w:pStyle w:val="BodyText"/>
      </w:pPr>
      <w:r w:rsidRPr="00A93CB6">
        <w:t>To complete the unit requirements safely and effectively, the individual must:</w:t>
      </w:r>
    </w:p>
    <w:p w:rsidR="00000000" w:rsidRPr="00A93CB6" w:rsidP="00A93CB6">
      <w:pPr>
        <w:pStyle w:val="ListBullet"/>
      </w:pPr>
      <w:r w:rsidRPr="00A93CB6">
        <w:t>determine job requirements</w:t>
      </w:r>
    </w:p>
    <w:p w:rsidR="00000000" w:rsidRPr="00A93CB6" w:rsidP="00A93CB6">
      <w:pPr>
        <w:pStyle w:val="ListBullet"/>
      </w:pPr>
      <w:r w:rsidRPr="00A93CB6">
        <w:t>identify vit</w:t>
      </w:r>
      <w:r w:rsidRPr="00A93CB6">
        <w:t>al information on the job ticket</w:t>
      </w:r>
    </w:p>
    <w:p w:rsidR="00000000" w:rsidRPr="00A93CB6" w:rsidP="00A93CB6">
      <w:pPr>
        <w:pStyle w:val="ListBullet"/>
      </w:pPr>
      <w:r w:rsidRPr="00A93CB6">
        <w:t>list checks to be done prior to set up (availability of materials etc.)</w:t>
      </w:r>
    </w:p>
    <w:p w:rsidR="00000000" w:rsidRPr="00A93CB6" w:rsidP="00A93CB6">
      <w:pPr>
        <w:pStyle w:val="ListBullet"/>
      </w:pPr>
      <w:r w:rsidRPr="00A93CB6">
        <w:t xml:space="preserve">identify flexographic printing plates and mounting systems </w:t>
      </w:r>
    </w:p>
    <w:p w:rsidR="00000000" w:rsidRPr="00A93CB6" w:rsidP="00A93CB6">
      <w:pPr>
        <w:pStyle w:val="ListBullet"/>
      </w:pPr>
      <w:r w:rsidRPr="00A93CB6">
        <w:t>identify health and safety concerns for safely mounting and proofing plates</w:t>
      </w:r>
    </w:p>
    <w:p w:rsidR="00000000" w:rsidRPr="00A93CB6" w:rsidP="00A93CB6">
      <w:pPr>
        <w:pStyle w:val="ListBullet"/>
      </w:pPr>
      <w:r w:rsidRPr="00A93CB6">
        <w:t>identify how to</w:t>
      </w:r>
      <w:r w:rsidRPr="00A93CB6">
        <w:t xml:space="preserve"> ensure the correct plates for the job is chosen</w:t>
      </w:r>
    </w:p>
    <w:p w:rsidR="00000000" w:rsidRPr="00A93CB6" w:rsidP="00A93CB6">
      <w:pPr>
        <w:pStyle w:val="ListBullet"/>
      </w:pPr>
      <w:r w:rsidRPr="00A93CB6">
        <w:t>describe when cushion type mounting material is used</w:t>
      </w:r>
    </w:p>
    <w:p w:rsidR="00000000" w:rsidRPr="00A93CB6" w:rsidP="00A93CB6">
      <w:pPr>
        <w:pStyle w:val="ListBullet"/>
      </w:pPr>
      <w:r w:rsidRPr="00A93CB6">
        <w:t xml:space="preserve">identify how to handle plates when mounting to avoid damage to plates </w:t>
      </w:r>
    </w:p>
    <w:p w:rsidR="00000000" w:rsidRPr="00A93CB6" w:rsidP="00A93CB6">
      <w:pPr>
        <w:pStyle w:val="ListBullet"/>
      </w:pPr>
      <w:r w:rsidRPr="00A93CB6">
        <w:t>list options to seal edges of plates when mounting</w:t>
      </w:r>
    </w:p>
    <w:p w:rsidR="00000000" w:rsidRPr="00A93CB6" w:rsidP="00A93CB6">
      <w:pPr>
        <w:pStyle w:val="ListBullet"/>
      </w:pPr>
      <w:r w:rsidRPr="00A93CB6">
        <w:t xml:space="preserve">explain importance of measuring </w:t>
      </w:r>
      <w:r w:rsidRPr="00A93CB6">
        <w:t>plate height</w:t>
      </w:r>
    </w:p>
    <w:p w:rsidR="00000000" w:rsidRPr="00A93CB6" w:rsidP="00A93CB6">
      <w:pPr>
        <w:pStyle w:val="ListBullet"/>
      </w:pPr>
      <w:r w:rsidRPr="00A93CB6">
        <w:t>identify TIR (total indicated run-out) effect on press performance</w:t>
      </w:r>
    </w:p>
    <w:p w:rsidR="00000000" w:rsidRPr="00A93CB6" w:rsidP="00A93CB6">
      <w:pPr>
        <w:pStyle w:val="ListBullet"/>
      </w:pPr>
      <w:r w:rsidRPr="00A93CB6">
        <w:t>define and describe procedure for V-block mounting</w:t>
      </w:r>
    </w:p>
    <w:p w:rsidR="00000000" w:rsidRPr="00A93CB6" w:rsidP="00A93CB6">
      <w:pPr>
        <w:pStyle w:val="ListBullet"/>
      </w:pPr>
      <w:r w:rsidRPr="00A93CB6">
        <w:t>proofing and adjustment</w:t>
      </w:r>
    </w:p>
    <w:p w:rsidR="00000000" w:rsidRPr="00A93CB6" w:rsidP="00A93CB6">
      <w:pPr>
        <w:pStyle w:val="ListBullet"/>
      </w:pPr>
      <w:r w:rsidRPr="00A93CB6">
        <w:t>identify quality control measurements to apply to the proof to test against known standards</w:t>
      </w:r>
    </w:p>
    <w:p w:rsidR="00000000" w:rsidRPr="00A93CB6" w:rsidP="00A93CB6">
      <w:pPr>
        <w:pStyle w:val="ListBullet"/>
      </w:pPr>
      <w:r w:rsidRPr="00A93CB6">
        <w:t xml:space="preserve">identify </w:t>
      </w:r>
      <w:r w:rsidRPr="00A93CB6">
        <w:t>checks to be made on initial print prior to running</w:t>
      </w:r>
    </w:p>
    <w:p w:rsidR="00000000" w:rsidRPr="00A93CB6" w:rsidP="00A93CB6">
      <w:pPr>
        <w:pStyle w:val="ListBullet"/>
      </w:pPr>
      <w:r w:rsidRPr="00A93CB6">
        <w:t>identify how to minimise registration errors</w:t>
      </w:r>
    </w:p>
    <w:p w:rsidR="00000000" w:rsidRPr="00A93CB6" w:rsidP="005712D2">
      <w:pPr>
        <w:pStyle w:val="Heading3"/>
      </w:pPr>
      <w:r w:rsidRPr="00A93CB6">
        <w:rPr>
          <w:rStyle w:val="SpecialBold"/>
        </w:rPr>
        <w:t xml:space="preserve">Information sources </w:t>
      </w:r>
    </w:p>
    <w:p w:rsidR="00000000" w:rsidRPr="00A93CB6" w:rsidP="00A93CB6">
      <w:pPr>
        <w:pStyle w:val="ListBullet"/>
      </w:pPr>
      <w:r w:rsidRPr="00A93CB6">
        <w:t xml:space="preserve">identify relevant information sources (including machine manuals, safety documentation </w:t>
      </w:r>
      <w:r w:rsidRPr="00A93CB6">
        <w:t>and other information) relevant to this task and their location and the information included in them.</w:t>
      </w:r>
    </w:p>
    <w:p w:rsidR="00000000" w:rsidRPr="00A93CB6" w:rsidP="00A93CB6">
      <w:pPr>
        <w:pStyle w:val="AllowPageBreak"/>
      </w:pPr>
    </w:p>
    <w:p w:rsidR="00000000" w:rsidRPr="00A93CB6" w:rsidP="00A93CB6">
      <w:pPr>
        <w:pStyle w:val="Heading1"/>
      </w:pPr>
      <w:bookmarkStart w:id="4" w:name="O_683763"/>
      <w:bookmarkEnd w:id="4"/>
      <w:r w:rsidRPr="00A93CB6">
        <w:t>Assessment Conditions</w:t>
      </w:r>
    </w:p>
    <w:p w:rsidR="00000000" w:rsidRPr="00A93CB6" w:rsidP="005712D2">
      <w:pPr>
        <w:pStyle w:val="BodyText"/>
      </w:pPr>
      <w:r w:rsidRPr="00A93CB6">
        <w:t>Gather evidence to demonstrate consistent performance in conditions that are safe and replicate the workplace. Nois</w:t>
      </w:r>
      <w:r w:rsidRPr="00A93CB6">
        <w:t>e levels, production flow, interruptions and time variances must be typical of those experienced in the printing field of work and include access to:</w:t>
      </w:r>
    </w:p>
    <w:p w:rsidR="00000000" w:rsidRPr="00A93CB6" w:rsidP="00A93CB6">
      <w:pPr>
        <w:pStyle w:val="ListBullet"/>
      </w:pPr>
      <w:r w:rsidRPr="00A93CB6">
        <w:t>flexographic printing machine</w:t>
      </w:r>
    </w:p>
    <w:p w:rsidR="00000000" w:rsidRPr="00A93CB6" w:rsidP="00A93CB6">
      <w:pPr>
        <w:pStyle w:val="ListBullet"/>
      </w:pPr>
      <w:r w:rsidRPr="00A93CB6">
        <w:t>mounting systems</w:t>
      </w:r>
    </w:p>
    <w:p w:rsidR="00000000" w:rsidRPr="00A93CB6" w:rsidP="00A93CB6">
      <w:pPr>
        <w:pStyle w:val="ListBullet"/>
      </w:pPr>
      <w:r w:rsidRPr="00A93CB6">
        <w:t>print direction chart.</w:t>
      </w:r>
    </w:p>
    <w:p w:rsidR="00000000" w:rsidRPr="00A93CB6" w:rsidP="00A93CB6">
      <w:pPr>
        <w:pStyle w:val="BodyText"/>
      </w:pPr>
    </w:p>
    <w:p w:rsidR="00000000" w:rsidRPr="00A93CB6" w:rsidP="005712D2">
      <w:pPr>
        <w:pStyle w:val="BodyText"/>
      </w:pPr>
      <w:r w:rsidRPr="00A93CB6">
        <w:t>Assessors must satisfy NVR/AQTF as</w:t>
      </w:r>
      <w:r w:rsidRPr="00A93CB6">
        <w:t>sessor requirements.</w:t>
      </w:r>
    </w:p>
    <w:p w:rsidR="00000000" w:rsidRPr="00A93CB6" w:rsidP="00A93CB6">
      <w:pPr>
        <w:pStyle w:val="Heading1"/>
      </w:pPr>
      <w:bookmarkStart w:id="5" w:name="O_683766"/>
      <w:bookmarkEnd w:id="5"/>
      <w:r w:rsidRPr="00A93CB6">
        <w:t>Links</w:t>
      </w:r>
    </w:p>
    <w:p w:rsidR="00000000" w:rsidRPr="00A93CB6" w:rsidP="005712D2">
      <w:pPr>
        <w:pStyle w:val="BodyText"/>
      </w:pPr>
      <w:r w:rsidRPr="00A93CB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97D1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A93CB6" w:rsidP="00A93CB6"/>
    <w:sectPr w:rsidSect="00A93C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B6" w:rsidRPr="005712D2" w:rsidP="005712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2D2" w:rsidP="00A93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12D2" w:rsidP="00A93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12D2" w:rsidP="00A93C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2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CB6" w:rsidRPr="005712D2" w:rsidP="005712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2D2" w:rsidRPr="002D2AF8" w:rsidP="00A93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ICPPRN211 Mount and proof flexographic plates for basic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712D2" w:rsidP="00A93C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DE5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A2C8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C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C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C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C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C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C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C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C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C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C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CB6"/>
  </w:style>
  <w:style w:type="character" w:customStyle="1" w:styleId="Heading1Char">
    <w:name w:val="Heading 1 Char"/>
    <w:basedOn w:val="DefaultParagraphFont"/>
    <w:link w:val="Heading1"/>
    <w:rsid w:val="00A93C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C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C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C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CB6"/>
    <w:rPr>
      <w:b/>
      <w:spacing w:val="0"/>
    </w:rPr>
  </w:style>
  <w:style w:type="paragraph" w:customStyle="1" w:styleId="SuperHeading">
    <w:name w:val="SuperHeading"/>
    <w:basedOn w:val="Normal"/>
    <w:rsid w:val="00A93C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C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C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C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C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C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C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C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C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C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C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C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C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C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C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C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C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C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C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C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C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C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C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C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C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C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C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C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C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C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C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CB6"/>
    <w:rPr>
      <w:i/>
    </w:rPr>
  </w:style>
  <w:style w:type="paragraph" w:styleId="Caption">
    <w:name w:val="caption"/>
    <w:basedOn w:val="BodyText"/>
    <w:next w:val="Normal"/>
    <w:qFormat/>
    <w:rsid w:val="00A93C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C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C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CB6"/>
  </w:style>
  <w:style w:type="paragraph" w:styleId="TableofFigures">
    <w:name w:val="table of figures"/>
    <w:basedOn w:val="Normal"/>
    <w:next w:val="Normal"/>
    <w:semiHidden/>
    <w:rsid w:val="00A93C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CB6"/>
    <w:pPr>
      <w:numPr>
        <w:numId w:val="10"/>
      </w:numPr>
    </w:pPr>
  </w:style>
  <w:style w:type="character" w:customStyle="1" w:styleId="WingdingSymbols">
    <w:name w:val="Wingding Symbols"/>
    <w:rsid w:val="00A93CB6"/>
    <w:rPr>
      <w:rFonts w:ascii="Wingdings" w:hAnsi="Wingdings"/>
    </w:rPr>
  </w:style>
  <w:style w:type="paragraph" w:customStyle="1" w:styleId="TableHeading">
    <w:name w:val="Table Heading"/>
    <w:basedOn w:val="HeadingBase"/>
    <w:rsid w:val="00A93C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CB6"/>
    <w:rPr>
      <w:color w:val="0033CC"/>
      <w:u w:val="none"/>
    </w:rPr>
  </w:style>
  <w:style w:type="paragraph" w:customStyle="1" w:styleId="BodyTextRight">
    <w:name w:val="Body Text Right"/>
    <w:basedOn w:val="BodyText"/>
    <w:rsid w:val="00A93C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C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C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C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C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C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CB6"/>
    <w:rPr>
      <w:sz w:val="32"/>
    </w:rPr>
  </w:style>
  <w:style w:type="paragraph" w:customStyle="1" w:styleId="HeadingProcedure">
    <w:name w:val="Heading Procedure"/>
    <w:basedOn w:val="HeadingBase"/>
    <w:next w:val="Normal"/>
    <w:rsid w:val="00A93C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CB6"/>
    <w:pPr>
      <w:spacing w:before="60" w:after="60"/>
    </w:pPr>
  </w:style>
  <w:style w:type="paragraph" w:styleId="ListContinue">
    <w:name w:val="List Continue"/>
    <w:basedOn w:val="List"/>
    <w:rsid w:val="00A93CB6"/>
    <w:pPr>
      <w:ind w:firstLine="0"/>
    </w:pPr>
  </w:style>
  <w:style w:type="paragraph" w:customStyle="1" w:styleId="ListNote">
    <w:name w:val="List Note"/>
    <w:basedOn w:val="List"/>
    <w:rsid w:val="00A93C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C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C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CB6"/>
    <w:rPr>
      <w:rFonts w:ascii="Courier New" w:hAnsi="Courier New"/>
    </w:rPr>
  </w:style>
  <w:style w:type="paragraph" w:customStyle="1" w:styleId="NoteBullet">
    <w:name w:val="Note Bullet"/>
    <w:basedOn w:val="Note"/>
    <w:rsid w:val="00A93C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C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C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C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C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C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C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CB6"/>
    <w:rPr>
      <w:b/>
      <w:smallCaps/>
    </w:rPr>
  </w:style>
  <w:style w:type="paragraph" w:customStyle="1" w:styleId="TableListNumber">
    <w:name w:val="Table List Number"/>
    <w:basedOn w:val="ListNumber"/>
    <w:rsid w:val="00A93C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C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CB6"/>
    <w:pPr>
      <w:numPr>
        <w:numId w:val="8"/>
      </w:numPr>
    </w:pPr>
  </w:style>
  <w:style w:type="paragraph" w:customStyle="1" w:styleId="ListAlpha2">
    <w:name w:val="List Alpha 2"/>
    <w:basedOn w:val="List2"/>
    <w:rsid w:val="00A93CB6"/>
    <w:pPr>
      <w:numPr>
        <w:numId w:val="7"/>
      </w:numPr>
    </w:pPr>
  </w:style>
  <w:style w:type="paragraph" w:styleId="List2">
    <w:name w:val="List 2"/>
    <w:basedOn w:val="BodyText"/>
    <w:rsid w:val="00A93C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C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C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C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C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C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CB6"/>
    <w:pPr>
      <w:numPr>
        <w:numId w:val="3"/>
      </w:numPr>
    </w:pPr>
  </w:style>
  <w:style w:type="paragraph" w:styleId="ListContinue2">
    <w:name w:val="List Continue 2"/>
    <w:basedOn w:val="List2"/>
    <w:rsid w:val="00A93CB6"/>
    <w:pPr>
      <w:ind w:firstLine="0"/>
    </w:pPr>
  </w:style>
  <w:style w:type="paragraph" w:styleId="ListContinue3">
    <w:name w:val="List Continue 3"/>
    <w:basedOn w:val="List3"/>
    <w:rsid w:val="00A93CB6"/>
    <w:pPr>
      <w:ind w:left="1021" w:firstLine="0"/>
    </w:pPr>
  </w:style>
  <w:style w:type="paragraph" w:styleId="ListContinue4">
    <w:name w:val="List Continue 4"/>
    <w:basedOn w:val="List4"/>
    <w:rsid w:val="00A93CB6"/>
    <w:pPr>
      <w:ind w:firstLine="0"/>
    </w:pPr>
  </w:style>
  <w:style w:type="paragraph" w:styleId="ListContinue5">
    <w:name w:val="List Continue 5"/>
    <w:basedOn w:val="List5"/>
    <w:rsid w:val="00A93CB6"/>
    <w:pPr>
      <w:ind w:firstLine="0"/>
    </w:pPr>
  </w:style>
  <w:style w:type="paragraph" w:styleId="ListNumber3">
    <w:name w:val="List Number 3"/>
    <w:basedOn w:val="List3"/>
    <w:rsid w:val="00A93CB6"/>
    <w:pPr>
      <w:numPr>
        <w:numId w:val="4"/>
      </w:numPr>
    </w:pPr>
  </w:style>
  <w:style w:type="paragraph" w:styleId="ListNumber4">
    <w:name w:val="List Number 4"/>
    <w:basedOn w:val="List4"/>
    <w:rsid w:val="00A93CB6"/>
    <w:pPr>
      <w:numPr>
        <w:numId w:val="5"/>
      </w:numPr>
    </w:pPr>
  </w:style>
  <w:style w:type="paragraph" w:styleId="ListNumber5">
    <w:name w:val="List Number 5"/>
    <w:basedOn w:val="List5"/>
    <w:rsid w:val="00A93CB6"/>
    <w:pPr>
      <w:numPr>
        <w:numId w:val="6"/>
      </w:numPr>
    </w:pPr>
  </w:style>
  <w:style w:type="paragraph" w:styleId="BlockText">
    <w:name w:val="Block Text"/>
    <w:basedOn w:val="Normal"/>
    <w:rsid w:val="00A93C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C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CB6"/>
    <w:rPr>
      <w:sz w:val="16"/>
      <w:vertAlign w:val="superscript"/>
    </w:rPr>
  </w:style>
  <w:style w:type="character" w:customStyle="1" w:styleId="Symbols">
    <w:name w:val="Symbols"/>
    <w:basedOn w:val="DefaultParagraphFont"/>
    <w:rsid w:val="00A93CB6"/>
    <w:rPr>
      <w:rFonts w:ascii="Symbol" w:hAnsi="Symbol"/>
    </w:rPr>
  </w:style>
  <w:style w:type="character" w:customStyle="1" w:styleId="MenuOptions">
    <w:name w:val="Menu Options"/>
    <w:basedOn w:val="DefaultParagraphFont"/>
    <w:rsid w:val="00A93C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CB6"/>
    <w:rPr>
      <w:b/>
    </w:rPr>
  </w:style>
  <w:style w:type="character" w:customStyle="1" w:styleId="Underlined">
    <w:name w:val="Underlined"/>
    <w:basedOn w:val="DefaultParagraphFont"/>
    <w:rsid w:val="00A93CB6"/>
    <w:rPr>
      <w:u w:val="single"/>
    </w:rPr>
  </w:style>
  <w:style w:type="paragraph" w:customStyle="1" w:styleId="TableBodyTextRight">
    <w:name w:val="Table Body Text Right"/>
    <w:basedOn w:val="TableBodyText"/>
    <w:rsid w:val="00A93C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CB6"/>
    <w:rPr>
      <w:sz w:val="18"/>
    </w:rPr>
  </w:style>
  <w:style w:type="paragraph" w:customStyle="1" w:styleId="BodySmallRight">
    <w:name w:val="Body Small Right"/>
    <w:basedOn w:val="BodyTextRight"/>
    <w:rsid w:val="00A93CB6"/>
    <w:rPr>
      <w:sz w:val="18"/>
      <w:szCs w:val="18"/>
    </w:rPr>
  </w:style>
  <w:style w:type="paragraph" w:customStyle="1" w:styleId="MarginEdition">
    <w:name w:val="Margin Edition"/>
    <w:basedOn w:val="MarginNote"/>
    <w:rsid w:val="00A93C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CB6"/>
    <w:rPr>
      <w:sz w:val="2"/>
      <w:szCs w:val="2"/>
    </w:rPr>
  </w:style>
  <w:style w:type="character" w:customStyle="1" w:styleId="Small">
    <w:name w:val="Small"/>
    <w:basedOn w:val="DefaultParagraphFont"/>
    <w:rsid w:val="00A93CB6"/>
    <w:rPr>
      <w:sz w:val="16"/>
    </w:rPr>
  </w:style>
  <w:style w:type="paragraph" w:customStyle="1" w:styleId="WideTable">
    <w:name w:val="Wide Table"/>
    <w:basedOn w:val="Normal"/>
    <w:rsid w:val="00A93C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CB6"/>
  </w:style>
  <w:style w:type="paragraph" w:styleId="Quote">
    <w:name w:val="Quote"/>
    <w:basedOn w:val="Heading1"/>
    <w:link w:val="QuoteChar"/>
    <w:qFormat/>
    <w:rsid w:val="00A93C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C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CB6"/>
    <w:pPr>
      <w:pageBreakBefore/>
    </w:pPr>
  </w:style>
  <w:style w:type="paragraph" w:customStyle="1" w:styleId="Border">
    <w:name w:val="Border"/>
    <w:basedOn w:val="Normal"/>
    <w:qFormat/>
    <w:rsid w:val="00A93C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C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C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C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C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C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C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C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C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CB6"/>
    <w:rPr>
      <w:u w:val="single"/>
    </w:rPr>
  </w:style>
  <w:style w:type="character" w:customStyle="1" w:styleId="BoldandItalics">
    <w:name w:val="Bold and Italics"/>
    <w:qFormat/>
    <w:rsid w:val="00A93CB6"/>
    <w:rPr>
      <w:b/>
      <w:i/>
      <w:u w:val="none"/>
    </w:rPr>
  </w:style>
  <w:style w:type="paragraph" w:styleId="BalloonText">
    <w:name w:val="Balloon Text"/>
    <w:basedOn w:val="Normal"/>
    <w:link w:val="BalloonTextChar"/>
    <w:rsid w:val="00A93C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C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C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C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C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C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C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12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2709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ICPPRN211 Mount and proof flexographic plates for basic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2018-12-10T06:51:00Z</dcterms:created>
  <dcterms:modified xsi:type="dcterms:W3CDTF">2018-12-10T06:51:00Z</dcterms:modified>
</cp:coreProperties>
</file>