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E75" w:rsidP="004E7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ICPPRN2110 Mount and proof flexographic plates for basic printing</w:t>
      </w:r>
      <w:r>
        <w:fldChar w:fldCharType="end"/>
      </w:r>
    </w:p>
    <w:p w:rsidR="004E7E75" w:rsidP="004E7E75">
      <w:pPr>
        <w:pStyle w:val="Version"/>
        <w:sectPr w:rsidSect="00E615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587" w:rsidP="00E61587">
      <w:pPr>
        <w:pStyle w:val="SuperHeading"/>
      </w:pPr>
      <w:r w:rsidRPr="00E61587">
        <w:t>ICPPRN2110 Mount and proof flexographic plates for basic printing</w:t>
      </w:r>
    </w:p>
    <w:p w:rsidR="00000000" w:rsidRPr="00E61587" w:rsidP="00E61587">
      <w:pPr>
        <w:pStyle w:val="Heading1"/>
      </w:pPr>
      <w:bookmarkStart w:id="1" w:name="O_1072222"/>
      <w:bookmarkEnd w:id="1"/>
      <w:r w:rsidRPr="00E615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61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7" w:rsidP="00E61587">
            <w:pPr>
              <w:pStyle w:val="BodyText"/>
            </w:pPr>
            <w:r w:rsidRPr="00E615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rPr>
                <w:rStyle w:val="SpecialBold"/>
              </w:rPr>
              <w:t>Comments</w:t>
            </w:r>
          </w:p>
        </w:tc>
      </w:tr>
      <w:tr w:rsidTr="00E61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7" w:rsidP="00E61587">
            <w:pPr>
              <w:pStyle w:val="BodyText"/>
            </w:pPr>
            <w:r w:rsidRPr="00E61587">
              <w:t>This version first released with ICP Printing and Graphic Arts Training Package Version 4.0.</w:t>
            </w:r>
          </w:p>
        </w:tc>
      </w:tr>
    </w:tbl>
    <w:p w:rsidR="00000000" w:rsidRPr="00E61587" w:rsidP="00E61587">
      <w:pPr>
        <w:pStyle w:val="BodyText"/>
      </w:pPr>
    </w:p>
    <w:p w:rsidR="00000000" w:rsidRPr="00E61587" w:rsidP="00E61587">
      <w:pPr>
        <w:pStyle w:val="AllowPageBreak"/>
      </w:pPr>
    </w:p>
    <w:p w:rsidR="00000000" w:rsidRPr="00E61587" w:rsidP="00E61587">
      <w:pPr>
        <w:pStyle w:val="Heading1"/>
      </w:pPr>
      <w:bookmarkStart w:id="2" w:name="O_1072227"/>
      <w:bookmarkEnd w:id="2"/>
      <w:r w:rsidRPr="00E61587">
        <w:t>Application</w:t>
      </w:r>
    </w:p>
    <w:p w:rsidR="00000000" w:rsidRPr="00E61587" w:rsidP="004E7E75">
      <w:pPr>
        <w:pStyle w:val="BodyText"/>
      </w:pPr>
      <w:r w:rsidRPr="00E61587">
        <w:t>This unit describes the skills and knowledge required to prepare and mount flexographic plates and plate cylinders for routine printing including proofing plates and checking cylinders for registration.</w:t>
      </w:r>
    </w:p>
    <w:p w:rsidR="00000000" w:rsidRPr="00E61587" w:rsidP="004E7E75">
      <w:pPr>
        <w:pStyle w:val="BodyText"/>
      </w:pPr>
      <w:r w:rsidRPr="00E61587">
        <w:t xml:space="preserve">It applies to individuals who work under </w:t>
      </w:r>
      <w:r w:rsidRPr="00E61587">
        <w:t>direct supervision and perform a range of routine printing tasks in a defined context. The practical skills and operational knowledge required to perform these tasks is at a fundamental level.</w:t>
      </w:r>
    </w:p>
    <w:p w:rsidR="00000000" w:rsidRPr="00E61587" w:rsidP="004E7E75">
      <w:pPr>
        <w:pStyle w:val="BodyText"/>
      </w:pPr>
      <w:r w:rsidRPr="00E61587">
        <w:t>No licensing, legislative or certification requirements apply t</w:t>
      </w:r>
      <w:r w:rsidRPr="00E61587">
        <w:t>o this unit at the time of publication.</w:t>
      </w:r>
    </w:p>
    <w:p w:rsidR="00000000" w:rsidRPr="00E61587" w:rsidP="00E61587">
      <w:pPr>
        <w:pStyle w:val="Heading1"/>
      </w:pPr>
      <w:bookmarkStart w:id="3" w:name="O_1072226"/>
      <w:bookmarkEnd w:id="3"/>
      <w:r w:rsidRPr="00E61587">
        <w:t>Unit Sector</w:t>
      </w:r>
    </w:p>
    <w:p w:rsidR="00000000" w:rsidRPr="00E61587" w:rsidP="004E7E75">
      <w:pPr>
        <w:pStyle w:val="BodyText"/>
      </w:pPr>
      <w:r w:rsidRPr="00E61587">
        <w:t>Printing</w:t>
      </w:r>
    </w:p>
    <w:p w:rsidR="00000000" w:rsidRPr="00E61587" w:rsidP="00E61587">
      <w:pPr>
        <w:pStyle w:val="Heading1"/>
      </w:pPr>
      <w:bookmarkStart w:id="4" w:name="O_1072225"/>
      <w:bookmarkEnd w:id="4"/>
      <w:r w:rsidRPr="00E615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E61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7" w:rsidP="00E61587">
            <w:pPr>
              <w:pStyle w:val="BodyText"/>
            </w:pPr>
            <w:r w:rsidRPr="00E6158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rPr>
                <w:rStyle w:val="SpecialBold"/>
              </w:rPr>
              <w:t>PERFORMANCE CRITERIA</w:t>
            </w:r>
          </w:p>
        </w:tc>
      </w:tr>
      <w:tr w:rsidTr="00E61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7" w:rsidP="00E61587">
            <w:pPr>
              <w:pStyle w:val="BodyText"/>
            </w:pPr>
            <w:r w:rsidRPr="00E6158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1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7" w:rsidP="00E61587">
            <w:pPr>
              <w:pStyle w:val="BodyText"/>
            </w:pPr>
            <w:r w:rsidRPr="00E61587">
              <w:t>1.1 Identify job specifications</w:t>
            </w:r>
          </w:p>
          <w:p w:rsidR="00000000" w:rsidRPr="00E61587" w:rsidP="00E61587">
            <w:pPr>
              <w:pStyle w:val="BodyText"/>
            </w:pPr>
            <w:r w:rsidRPr="00E61587">
              <w:t>1.2 Carry out set up of required machinery according to manufacturer specifications</w:t>
            </w:r>
          </w:p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t>1.3 Complete and sign of</w:t>
            </w:r>
            <w:r w:rsidRPr="00E61587">
              <w:t>f on required prior inspections</w:t>
            </w:r>
          </w:p>
        </w:tc>
      </w:tr>
      <w:tr w:rsidTr="00E61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t>2. Prepare flexographic plates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7" w:rsidP="00E61587">
            <w:pPr>
              <w:pStyle w:val="BodyText"/>
            </w:pPr>
            <w:r w:rsidRPr="00E61587">
              <w:t xml:space="preserve">2.1 Measure plate height and relief </w:t>
            </w:r>
          </w:p>
          <w:p w:rsidR="00000000" w:rsidRPr="00E61587" w:rsidP="00E61587">
            <w:pPr>
              <w:pStyle w:val="BodyText"/>
            </w:pPr>
            <w:r w:rsidRPr="00E61587">
              <w:t xml:space="preserve">2.2 Trim and prepare plates according to mounting system requirements </w:t>
            </w:r>
          </w:p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t>2.3 Select mounting adhesive according to pitch circle diameter (PCD) of specified plate cylinders and gears</w:t>
            </w:r>
          </w:p>
        </w:tc>
      </w:tr>
      <w:tr w:rsidTr="00E61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7" w:rsidP="00E61587">
            <w:pPr>
              <w:pStyle w:val="BodyText"/>
            </w:pPr>
            <w:r w:rsidRPr="00E61587">
              <w:t>3. Prepare plate cylinders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7" w:rsidP="00E61587">
            <w:pPr>
              <w:pStyle w:val="BodyText"/>
            </w:pPr>
            <w:r w:rsidRPr="00E61587">
              <w:t>3.1 Select, clean and prepare plate cylinders and seamless sleeves as required</w:t>
            </w:r>
          </w:p>
          <w:p w:rsidR="00000000" w:rsidRPr="00E61587" w:rsidP="00E61587">
            <w:pPr>
              <w:pStyle w:val="BodyText"/>
            </w:pPr>
            <w:r w:rsidRPr="00E61587">
              <w:t>3.2 Select, clean, prepare and mount sl</w:t>
            </w:r>
            <w:r w:rsidRPr="00E61587">
              <w:t xml:space="preserve">eeves and gears on mandrels according to job specifications </w:t>
            </w:r>
          </w:p>
          <w:p w:rsidR="00000000" w:rsidRPr="00E61587" w:rsidP="00E61587">
            <w:pPr>
              <w:pStyle w:val="BodyText"/>
            </w:pPr>
            <w:r w:rsidRPr="00E61587">
              <w:t xml:space="preserve">3.3 Check total indicated run-out (TIR) is within specified tolerances on plate cylinders </w:t>
            </w:r>
          </w:p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t xml:space="preserve">3.4 Select and apply mounting adhesive to plate cylinders </w:t>
            </w:r>
          </w:p>
        </w:tc>
      </w:tr>
      <w:tr w:rsidTr="00E61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t>4. Mount and proof flexographic plates on ma</w:t>
            </w:r>
            <w:r w:rsidRPr="00E61587">
              <w:t>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7" w:rsidP="00E61587">
            <w:pPr>
              <w:pStyle w:val="BodyText"/>
            </w:pPr>
            <w:r w:rsidRPr="00E61587">
              <w:t xml:space="preserve">4.1 Prepare plates and mount on cylinders </w:t>
            </w:r>
          </w:p>
          <w:p w:rsidR="00000000" w:rsidRPr="00E61587" w:rsidP="00E61587">
            <w:pPr>
              <w:pStyle w:val="BodyText"/>
            </w:pPr>
            <w:r w:rsidRPr="00E61587">
              <w:t>4.2 Prepare plate mounting sheet according to job specifications and registration requirements</w:t>
            </w:r>
          </w:p>
          <w:p w:rsidR="00000000" w:rsidRPr="00E61587" w:rsidP="00E61587">
            <w:pPr>
              <w:pStyle w:val="BodyText"/>
            </w:pPr>
            <w:r w:rsidRPr="00E61587">
              <w:t xml:space="preserve">4.3 Mount plates to required position </w:t>
            </w:r>
          </w:p>
          <w:p w:rsidR="00000000" w:rsidRPr="00E61587" w:rsidP="00E61587">
            <w:pPr>
              <w:pStyle w:val="BodyText"/>
            </w:pPr>
            <w:r w:rsidRPr="00E61587">
              <w:t>4.4 Install plate mounting sheet and tension onto plate cylinder</w:t>
            </w:r>
          </w:p>
          <w:p w:rsidR="00000000" w:rsidRPr="00E61587" w:rsidP="00E61587">
            <w:pPr>
              <w:pStyle w:val="BodyText"/>
            </w:pPr>
            <w:r w:rsidRPr="00E61587">
              <w:t>4.5 Proo</w:t>
            </w:r>
            <w:r w:rsidRPr="00E61587">
              <w:t>f plates and check each plate cylinder for register</w:t>
            </w:r>
          </w:p>
          <w:p w:rsidR="00000000" w:rsidRPr="00E61587" w:rsidP="00E61587">
            <w:pPr>
              <w:pStyle w:val="BodyText"/>
            </w:pPr>
            <w:r w:rsidRPr="00E61587">
              <w:t xml:space="preserve">4.6 Trim and tape down flexographic plates according to printing press requirements </w:t>
            </w:r>
          </w:p>
        </w:tc>
      </w:tr>
    </w:tbl>
    <w:p w:rsidR="00000000" w:rsidRPr="00E61587" w:rsidP="00E61587">
      <w:pPr>
        <w:pStyle w:val="BodyText"/>
      </w:pPr>
    </w:p>
    <w:p w:rsidR="00000000" w:rsidRPr="00E61587" w:rsidP="00E61587">
      <w:pPr>
        <w:pStyle w:val="AllowPageBreak"/>
      </w:pPr>
    </w:p>
    <w:p w:rsidR="00000000" w:rsidRPr="00E61587" w:rsidP="00E61587">
      <w:pPr>
        <w:pStyle w:val="Heading1"/>
      </w:pPr>
      <w:bookmarkStart w:id="5" w:name="O_1072224"/>
      <w:bookmarkEnd w:id="5"/>
      <w:r w:rsidRPr="00E61587">
        <w:t>Foundation Skills</w:t>
      </w:r>
    </w:p>
    <w:p w:rsidR="00000000" w:rsidRPr="00E61587" w:rsidP="004E7E75">
      <w:pPr>
        <w:pStyle w:val="BodyText"/>
      </w:pPr>
      <w:r w:rsidRPr="00E61587">
        <w:t>This section describes language, literacy, numeracy and employment skills incorp</w:t>
      </w:r>
      <w:r w:rsidRPr="00E61587">
        <w:t>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61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7" w:rsidP="00E61587">
            <w:pPr>
              <w:pStyle w:val="BodyText"/>
            </w:pPr>
            <w:r w:rsidRPr="00E61587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rPr>
                <w:rStyle w:val="SpecialBold"/>
              </w:rPr>
              <w:t>Description</w:t>
            </w:r>
          </w:p>
        </w:tc>
      </w:tr>
      <w:tr w:rsidTr="00E61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ListBullet"/>
              <w:rPr>
                <w:lang w:val="en-NZ"/>
              </w:rPr>
            </w:pPr>
            <w:r w:rsidRPr="00E61587">
              <w:t xml:space="preserve">Identifies and interprets text to establish job requirements </w:t>
            </w:r>
          </w:p>
        </w:tc>
      </w:tr>
      <w:tr w:rsidTr="00E61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ListBullet"/>
              <w:rPr>
                <w:lang w:val="en-NZ"/>
              </w:rPr>
            </w:pPr>
            <w:r w:rsidRPr="00E61587">
              <w:t>Completes workplace forms accurately</w:t>
            </w:r>
          </w:p>
        </w:tc>
      </w:tr>
      <w:tr w:rsidTr="00E61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ListBullet"/>
              <w:rPr>
                <w:lang w:val="en-NZ"/>
              </w:rPr>
            </w:pPr>
            <w:r w:rsidRPr="00E61587">
              <w:t>Interprets and analyses a range of mathematical information used in familiar and routine tasks</w:t>
            </w:r>
          </w:p>
        </w:tc>
      </w:tr>
      <w:tr w:rsidTr="00E61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7" w:rsidP="00E61587">
            <w:pPr>
              <w:pStyle w:val="ListBullet"/>
            </w:pPr>
            <w:r w:rsidRPr="00E61587">
              <w:t>Identifies and follows explicit and implicit protocols and meets expectations associated with own role</w:t>
            </w:r>
          </w:p>
          <w:p w:rsidR="00000000" w:rsidP="00E61587">
            <w:pPr>
              <w:pStyle w:val="ListBullet"/>
              <w:rPr>
                <w:lang w:val="en-NZ"/>
              </w:rPr>
            </w:pPr>
            <w:r w:rsidRPr="00E61587">
              <w:t>Complies with regulatory requirements, a</w:t>
            </w:r>
            <w:r w:rsidRPr="00E61587">
              <w:t>nd follows organisational procedures relevant to own role</w:t>
            </w:r>
          </w:p>
        </w:tc>
      </w:tr>
      <w:tr w:rsidTr="00E61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ListBullet"/>
              <w:rPr>
                <w:lang w:val="en-NZ"/>
              </w:rPr>
            </w:pPr>
            <w:r w:rsidRPr="00E61587">
              <w:t>Seeks to cooperate with others to achieve results in immediate work context</w:t>
            </w:r>
          </w:p>
        </w:tc>
      </w:tr>
      <w:tr w:rsidTr="00E61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t xml:space="preserve">Planning and </w:t>
            </w:r>
            <w:r w:rsidRPr="00E61587">
              <w:t xml:space="preserve">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ListBullet"/>
              <w:rPr>
                <w:lang w:val="en-NZ"/>
              </w:rPr>
            </w:pPr>
            <w:r w:rsidRPr="00E61587">
              <w:t xml:space="preserve">With assistance, determines priorities and sequences steps involved in </w:t>
            </w:r>
            <w:r w:rsidRPr="00E61587">
              <w:t xml:space="preserve">clearly defined, familiar tasks and identifies and assembles required resources </w:t>
            </w:r>
          </w:p>
        </w:tc>
      </w:tr>
      <w:tr w:rsidTr="00E61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ListBullet"/>
              <w:rPr>
                <w:lang w:val="en-NZ"/>
              </w:rPr>
            </w:pPr>
            <w:r w:rsidRPr="00E61587">
              <w:t>Responds to predictable problems and implements standard or logical solutions related</w:t>
            </w:r>
            <w:r w:rsidRPr="00E61587">
              <w:t xml:space="preserve"> to role in immediate work environment</w:t>
            </w:r>
          </w:p>
        </w:tc>
      </w:tr>
      <w:tr w:rsidTr="00E61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7">
            <w:pPr>
              <w:pStyle w:val="BodyText"/>
              <w:rPr>
                <w:lang w:val="en-NZ"/>
              </w:rPr>
            </w:pPr>
            <w:r w:rsidRPr="00E61587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7" w:rsidP="00E61587">
            <w:pPr>
              <w:pStyle w:val="ListBullet"/>
            </w:pPr>
            <w:r w:rsidRPr="00E61587">
              <w:t>Reads data from electronic monitoring and control systems</w:t>
            </w:r>
          </w:p>
        </w:tc>
      </w:tr>
    </w:tbl>
    <w:p w:rsidR="004E7E75" w:rsidP="00E61587">
      <w:pPr>
        <w:pStyle w:val="BodyText"/>
      </w:pPr>
    </w:p>
    <w:p w:rsidR="004E7E75" w:rsidP="00E61587">
      <w:pPr>
        <w:pStyle w:val="BodyText"/>
      </w:pPr>
    </w:p>
    <w:p w:rsidR="00000000" w:rsidRPr="00E61587" w:rsidP="00E61587">
      <w:pPr>
        <w:pStyle w:val="Heading1"/>
      </w:pPr>
      <w:bookmarkStart w:id="6" w:name="O_1072223"/>
      <w:bookmarkEnd w:id="6"/>
      <w:r w:rsidRPr="00E61587">
        <w:t>Unit Mapping Information</w:t>
      </w:r>
    </w:p>
    <w:p w:rsidR="00000000" w:rsidRPr="00E61587" w:rsidP="004E7E75">
      <w:pPr>
        <w:pStyle w:val="BodyText"/>
      </w:pPr>
      <w:r w:rsidRPr="00E61587">
        <w:t>Supersedes and is equivalent to ICPPRN211 Mount and proof flexographic plates for basic printing.</w:t>
      </w:r>
    </w:p>
    <w:p w:rsidR="00000000" w:rsidRPr="00E61587" w:rsidP="00E61587">
      <w:pPr>
        <w:pStyle w:val="Heading1"/>
      </w:pPr>
      <w:bookmarkStart w:id="7" w:name="O_1072216"/>
      <w:bookmarkEnd w:id="7"/>
      <w:r w:rsidRPr="00E61587">
        <w:t>Links</w:t>
      </w:r>
    </w:p>
    <w:p w:rsidR="00000000" w:rsidRPr="00E61587" w:rsidP="004E7E75">
      <w:pPr>
        <w:pStyle w:val="BodyText"/>
      </w:pPr>
      <w:r w:rsidRPr="00E615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93C8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61587" w:rsidP="00E61587"/>
    <w:sectPr w:rsidSect="00E615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87" w:rsidRPr="004E7E75" w:rsidP="004E7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E75" w:rsidP="00E615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E75" w:rsidP="00E615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7E75" w:rsidP="00E615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587" w:rsidRPr="004E7E75" w:rsidP="004E7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E75" w:rsidRPr="002D2AF8" w:rsidP="00E615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ICPPRN2110 Mount and proof flexographic plates for basic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E7E75" w:rsidP="00E615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A87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94EB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5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5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5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5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5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5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5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5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5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5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5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587"/>
  </w:style>
  <w:style w:type="character" w:customStyle="1" w:styleId="Heading1Char">
    <w:name w:val="Heading 1 Char"/>
    <w:basedOn w:val="DefaultParagraphFont"/>
    <w:link w:val="Heading1"/>
    <w:rsid w:val="00E615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5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5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5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587"/>
    <w:rPr>
      <w:b/>
      <w:spacing w:val="0"/>
    </w:rPr>
  </w:style>
  <w:style w:type="character" w:styleId="Emphasis">
    <w:name w:val="Emphasis"/>
    <w:basedOn w:val="DefaultParagraphFont"/>
    <w:qFormat/>
    <w:rsid w:val="00E61587"/>
    <w:rPr>
      <w:i/>
    </w:rPr>
  </w:style>
  <w:style w:type="paragraph" w:customStyle="1" w:styleId="SuperHeading">
    <w:name w:val="SuperHeading"/>
    <w:basedOn w:val="Normal"/>
    <w:rsid w:val="00E615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5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5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5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5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5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5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5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5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5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5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5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5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5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5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5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5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5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5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5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5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5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5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5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5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5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5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5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5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5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5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15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5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5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587"/>
  </w:style>
  <w:style w:type="paragraph" w:styleId="TableofFigures">
    <w:name w:val="table of figures"/>
    <w:basedOn w:val="Normal"/>
    <w:next w:val="Normal"/>
    <w:semiHidden/>
    <w:rsid w:val="00E615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5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1587"/>
    <w:rPr>
      <w:rFonts w:ascii="Wingdings" w:hAnsi="Wingdings"/>
    </w:rPr>
  </w:style>
  <w:style w:type="paragraph" w:customStyle="1" w:styleId="TableHeading">
    <w:name w:val="Table Heading"/>
    <w:basedOn w:val="HeadingBase"/>
    <w:rsid w:val="00E615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587"/>
    <w:rPr>
      <w:color w:val="0033CC"/>
      <w:u w:val="none"/>
    </w:rPr>
  </w:style>
  <w:style w:type="paragraph" w:customStyle="1" w:styleId="BodyTextRight">
    <w:name w:val="Body Text Right"/>
    <w:basedOn w:val="BodyText"/>
    <w:rsid w:val="00E615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5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5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5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5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5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587"/>
    <w:rPr>
      <w:sz w:val="32"/>
    </w:rPr>
  </w:style>
  <w:style w:type="paragraph" w:customStyle="1" w:styleId="HeadingProcedure">
    <w:name w:val="Heading Procedure"/>
    <w:basedOn w:val="HeadingBase"/>
    <w:next w:val="Normal"/>
    <w:rsid w:val="00E615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587"/>
    <w:pPr>
      <w:spacing w:before="60" w:after="60"/>
    </w:pPr>
  </w:style>
  <w:style w:type="paragraph" w:styleId="ListContinue">
    <w:name w:val="List Continue"/>
    <w:basedOn w:val="List"/>
    <w:rsid w:val="00E61587"/>
    <w:pPr>
      <w:ind w:firstLine="0"/>
    </w:pPr>
  </w:style>
  <w:style w:type="paragraph" w:customStyle="1" w:styleId="ListNote">
    <w:name w:val="List Note"/>
    <w:basedOn w:val="List"/>
    <w:rsid w:val="00E615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5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5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587"/>
    <w:rPr>
      <w:rFonts w:ascii="Courier New" w:hAnsi="Courier New"/>
    </w:rPr>
  </w:style>
  <w:style w:type="paragraph" w:customStyle="1" w:styleId="NoteBullet">
    <w:name w:val="Note Bullet"/>
    <w:basedOn w:val="Note"/>
    <w:rsid w:val="00E615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5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5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5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5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15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5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587"/>
    <w:rPr>
      <w:b/>
      <w:smallCaps/>
    </w:rPr>
  </w:style>
  <w:style w:type="paragraph" w:customStyle="1" w:styleId="TableListNumber">
    <w:name w:val="Table List Number"/>
    <w:basedOn w:val="ListNumber"/>
    <w:rsid w:val="00E615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5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587"/>
    <w:pPr>
      <w:numPr>
        <w:numId w:val="8"/>
      </w:numPr>
    </w:pPr>
  </w:style>
  <w:style w:type="paragraph" w:customStyle="1" w:styleId="ListAlpha2">
    <w:name w:val="List Alpha 2"/>
    <w:basedOn w:val="List2"/>
    <w:rsid w:val="00E61587"/>
    <w:pPr>
      <w:numPr>
        <w:numId w:val="7"/>
      </w:numPr>
    </w:pPr>
  </w:style>
  <w:style w:type="paragraph" w:styleId="List2">
    <w:name w:val="List 2"/>
    <w:basedOn w:val="BodyText"/>
    <w:rsid w:val="00E615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5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5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5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5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5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1587"/>
    <w:pPr>
      <w:numPr>
        <w:numId w:val="3"/>
      </w:numPr>
    </w:pPr>
  </w:style>
  <w:style w:type="paragraph" w:styleId="ListContinue2">
    <w:name w:val="List Continue 2"/>
    <w:basedOn w:val="List2"/>
    <w:rsid w:val="00E61587"/>
    <w:pPr>
      <w:ind w:firstLine="0"/>
    </w:pPr>
  </w:style>
  <w:style w:type="paragraph" w:styleId="ListContinue3">
    <w:name w:val="List Continue 3"/>
    <w:basedOn w:val="List3"/>
    <w:rsid w:val="00E61587"/>
    <w:pPr>
      <w:ind w:left="1021" w:firstLine="0"/>
    </w:pPr>
  </w:style>
  <w:style w:type="paragraph" w:styleId="ListContinue4">
    <w:name w:val="List Continue 4"/>
    <w:basedOn w:val="List4"/>
    <w:rsid w:val="00E61587"/>
    <w:pPr>
      <w:ind w:firstLine="0"/>
    </w:pPr>
  </w:style>
  <w:style w:type="paragraph" w:styleId="ListContinue5">
    <w:name w:val="List Continue 5"/>
    <w:basedOn w:val="List5"/>
    <w:rsid w:val="00E61587"/>
    <w:pPr>
      <w:ind w:firstLine="0"/>
    </w:pPr>
  </w:style>
  <w:style w:type="paragraph" w:styleId="ListNumber3">
    <w:name w:val="List Number 3"/>
    <w:basedOn w:val="List3"/>
    <w:rsid w:val="00E61587"/>
    <w:pPr>
      <w:numPr>
        <w:numId w:val="4"/>
      </w:numPr>
    </w:pPr>
  </w:style>
  <w:style w:type="paragraph" w:styleId="ListNumber4">
    <w:name w:val="List Number 4"/>
    <w:basedOn w:val="List4"/>
    <w:rsid w:val="00E61587"/>
    <w:pPr>
      <w:numPr>
        <w:numId w:val="5"/>
      </w:numPr>
    </w:pPr>
  </w:style>
  <w:style w:type="paragraph" w:styleId="ListNumber5">
    <w:name w:val="List Number 5"/>
    <w:basedOn w:val="List5"/>
    <w:rsid w:val="00E61587"/>
    <w:pPr>
      <w:numPr>
        <w:numId w:val="6"/>
      </w:numPr>
    </w:pPr>
  </w:style>
  <w:style w:type="paragraph" w:styleId="BlockText">
    <w:name w:val="Block Text"/>
    <w:basedOn w:val="Normal"/>
    <w:rsid w:val="00E615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5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587"/>
    <w:rPr>
      <w:sz w:val="16"/>
      <w:vertAlign w:val="superscript"/>
    </w:rPr>
  </w:style>
  <w:style w:type="character" w:customStyle="1" w:styleId="Symbols">
    <w:name w:val="Symbols"/>
    <w:basedOn w:val="DefaultParagraphFont"/>
    <w:rsid w:val="00E61587"/>
    <w:rPr>
      <w:rFonts w:ascii="Symbol" w:hAnsi="Symbol"/>
    </w:rPr>
  </w:style>
  <w:style w:type="character" w:customStyle="1" w:styleId="MenuOptions">
    <w:name w:val="Menu Options"/>
    <w:basedOn w:val="DefaultParagraphFont"/>
    <w:rsid w:val="00E615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587"/>
    <w:rPr>
      <w:b/>
    </w:rPr>
  </w:style>
  <w:style w:type="character" w:customStyle="1" w:styleId="Underlined">
    <w:name w:val="Underlined"/>
    <w:basedOn w:val="DefaultParagraphFont"/>
    <w:rsid w:val="00E61587"/>
    <w:rPr>
      <w:u w:val="single"/>
    </w:rPr>
  </w:style>
  <w:style w:type="paragraph" w:customStyle="1" w:styleId="TableBodyTextRight">
    <w:name w:val="Table Body Text Right"/>
    <w:basedOn w:val="TableBodyText"/>
    <w:rsid w:val="00E615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587"/>
    <w:rPr>
      <w:sz w:val="18"/>
    </w:rPr>
  </w:style>
  <w:style w:type="paragraph" w:customStyle="1" w:styleId="BodySmallRight">
    <w:name w:val="Body Small Right"/>
    <w:basedOn w:val="BodyTextRight"/>
    <w:rsid w:val="00E61587"/>
    <w:rPr>
      <w:sz w:val="18"/>
      <w:szCs w:val="18"/>
    </w:rPr>
  </w:style>
  <w:style w:type="paragraph" w:customStyle="1" w:styleId="MarginEdition">
    <w:name w:val="Margin Edition"/>
    <w:basedOn w:val="MarginNote"/>
    <w:rsid w:val="00E615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587"/>
    <w:rPr>
      <w:sz w:val="2"/>
      <w:szCs w:val="2"/>
    </w:rPr>
  </w:style>
  <w:style w:type="character" w:customStyle="1" w:styleId="Small">
    <w:name w:val="Small"/>
    <w:basedOn w:val="DefaultParagraphFont"/>
    <w:rsid w:val="00E61587"/>
    <w:rPr>
      <w:sz w:val="16"/>
    </w:rPr>
  </w:style>
  <w:style w:type="paragraph" w:customStyle="1" w:styleId="WideTable">
    <w:name w:val="Wide Table"/>
    <w:basedOn w:val="Normal"/>
    <w:rsid w:val="00E615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587"/>
  </w:style>
  <w:style w:type="paragraph" w:styleId="Quote">
    <w:name w:val="Quote"/>
    <w:basedOn w:val="Heading1"/>
    <w:link w:val="QuoteChar"/>
    <w:qFormat/>
    <w:rsid w:val="00E615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5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587"/>
    <w:pPr>
      <w:pageBreakBefore/>
    </w:pPr>
  </w:style>
  <w:style w:type="paragraph" w:customStyle="1" w:styleId="Border">
    <w:name w:val="Border"/>
    <w:basedOn w:val="Normal"/>
    <w:qFormat/>
    <w:rsid w:val="00E615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5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5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5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5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5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5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5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5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587"/>
    <w:rPr>
      <w:u w:val="single"/>
    </w:rPr>
  </w:style>
  <w:style w:type="character" w:customStyle="1" w:styleId="BoldandItalics">
    <w:name w:val="Bold and Italics"/>
    <w:qFormat/>
    <w:rsid w:val="00E61587"/>
    <w:rPr>
      <w:b/>
      <w:i/>
      <w:u w:val="none"/>
    </w:rPr>
  </w:style>
  <w:style w:type="paragraph" w:styleId="BalloonText">
    <w:name w:val="Balloon Text"/>
    <w:basedOn w:val="Normal"/>
    <w:link w:val="BalloonTextChar"/>
    <w:rsid w:val="00E615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5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5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5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5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5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587"/>
    <w:pPr>
      <w:spacing w:before="0" w:after="0"/>
    </w:pPr>
  </w:style>
  <w:style w:type="paragraph" w:customStyle="1" w:styleId="BodyTextBold">
    <w:name w:val="Body Text Bold"/>
    <w:basedOn w:val="BodyText"/>
    <w:qFormat/>
    <w:rsid w:val="00E61587"/>
    <w:rPr>
      <w:b/>
    </w:rPr>
  </w:style>
  <w:style w:type="character" w:styleId="Hyperlink">
    <w:name w:val="Hyperlink"/>
    <w:basedOn w:val="DefaultParagraphFont"/>
    <w:uiPriority w:val="99"/>
    <w:unhideWhenUsed/>
    <w:rsid w:val="004E7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3334</Characters>
  <Application>Microsoft Office Word</Application>
  <DocSecurity>0</DocSecurity>
  <Lines>114</Lines>
  <Paragraphs>77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ICPPRN2110 Mount and proof flexographic plates for basic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2021-07-20T05:57:00Z</dcterms:created>
  <dcterms:modified xsi:type="dcterms:W3CDTF">2021-07-20T05:57:00Z</dcterms:modified>
</cp:coreProperties>
</file>