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338" w:rsidP="00914338">
      <w:pPr>
        <w:pStyle w:val="Title"/>
      </w:pPr>
      <w:r>
        <w:fldChar w:fldCharType="begin"/>
      </w:r>
      <w:r>
        <w:instrText xml:space="preserve"> TITLE   \* MERGEFORMAT </w:instrText>
      </w:r>
      <w:r>
        <w:fldChar w:fldCharType="separate"/>
      </w:r>
      <w:r>
        <w:t>ICPCBF391 Use electronic monitoring systems (converting and finishing)</w:t>
      </w:r>
      <w:r>
        <w:fldChar w:fldCharType="end"/>
      </w:r>
    </w:p>
    <w:p w:rsidR="00914338" w:rsidP="00914338">
      <w:pPr>
        <w:pStyle w:val="Version"/>
        <w:sectPr w:rsidSect="00B71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F9B" w:rsidP="00B71F9B">
      <w:pPr>
        <w:pStyle w:val="SuperHeading"/>
      </w:pPr>
      <w:r w:rsidRPr="00B71F9B">
        <w:t>ICPCBF391 Use electronic monitoring systems (converting and finishing)</w:t>
      </w:r>
    </w:p>
    <w:p w:rsidR="00000000" w:rsidRPr="00B71F9B" w:rsidP="00B71F9B">
      <w:pPr>
        <w:pStyle w:val="Heading1"/>
      </w:pPr>
      <w:bookmarkStart w:id="1" w:name="O_694639"/>
      <w:bookmarkEnd w:id="1"/>
      <w:r w:rsidRPr="00B71F9B">
        <w:t>Modification History</w:t>
      </w:r>
    </w:p>
    <w:tbl>
      <w:tblPr>
        <w:tblW w:w="0" w:type="auto"/>
        <w:tblLayout w:type="fixed"/>
        <w:tblCellMar>
          <w:left w:w="62" w:type="dxa"/>
          <w:right w:w="62" w:type="dxa"/>
        </w:tblCellMar>
        <w:tblLook w:val="0000"/>
      </w:tblPr>
      <w:tblGrid>
        <w:gridCol w:w="3091"/>
        <w:gridCol w:w="5873"/>
      </w:tblGrid>
      <w:tr w:rsidTr="00B71F9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rPr>
                <w:rStyle w:val="SpecialBold"/>
              </w:rPr>
              <w:t>Comments</w:t>
            </w:r>
          </w:p>
        </w:tc>
      </w:tr>
      <w:tr w:rsidTr="00B71F9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t>This version first released with ICP Printing and Graphic Arts Training Package Version 1.0.</w:t>
            </w:r>
          </w:p>
        </w:tc>
      </w:tr>
    </w:tbl>
    <w:p w:rsidR="00000000" w:rsidRPr="00B71F9B" w:rsidP="00B71F9B">
      <w:pPr>
        <w:pStyle w:val="BodyText"/>
      </w:pPr>
    </w:p>
    <w:p w:rsidR="00000000" w:rsidRPr="00B71F9B" w:rsidP="00B71F9B">
      <w:pPr>
        <w:pStyle w:val="AllowPageBreak"/>
      </w:pPr>
    </w:p>
    <w:p w:rsidR="00000000" w:rsidRPr="00B71F9B" w:rsidP="00B71F9B">
      <w:pPr>
        <w:pStyle w:val="Heading1"/>
      </w:pPr>
      <w:bookmarkStart w:id="2" w:name="O_694640"/>
      <w:bookmarkEnd w:id="2"/>
      <w:r w:rsidRPr="00B71F9B">
        <w:t>Application</w:t>
      </w:r>
    </w:p>
    <w:p w:rsidR="00000000" w:rsidRPr="00B71F9B" w:rsidP="00914338">
      <w:pPr>
        <w:pStyle w:val="BodyText"/>
      </w:pPr>
      <w:r w:rsidRPr="00B71F9B">
        <w:t>This unit describes the skills and knowledge required to use electronic monitoring systems for glue lines used in the container and carton sector of the industry, and for gatherers and folders used in the binding and finishing sector.</w:t>
      </w:r>
    </w:p>
    <w:p w:rsidR="00000000" w:rsidRPr="00B71F9B" w:rsidP="00914338">
      <w:pPr>
        <w:pStyle w:val="BodyText"/>
      </w:pPr>
      <w:r w:rsidRPr="00B71F9B">
        <w:t>No licen</w:t>
      </w:r>
      <w:r w:rsidRPr="00B71F9B">
        <w:t>sing, legislative or certification requirements apply to this unit at the time of publication.</w:t>
      </w:r>
    </w:p>
    <w:p w:rsidR="00000000" w:rsidRPr="00B71F9B" w:rsidP="00B71F9B">
      <w:pPr>
        <w:pStyle w:val="Heading1"/>
      </w:pPr>
      <w:bookmarkStart w:id="3" w:name="O_694643"/>
      <w:bookmarkEnd w:id="3"/>
      <w:r w:rsidRPr="00B71F9B">
        <w:t>Unit Sector</w:t>
      </w:r>
    </w:p>
    <w:p w:rsidR="00000000" w:rsidRPr="00B71F9B" w:rsidP="00914338">
      <w:pPr>
        <w:pStyle w:val="BodyText"/>
      </w:pPr>
      <w:r w:rsidRPr="00B71F9B">
        <w:t>Converting, Binding and Finishing</w:t>
      </w:r>
    </w:p>
    <w:p w:rsidR="00000000" w:rsidRPr="00B71F9B" w:rsidP="00B71F9B">
      <w:pPr>
        <w:pStyle w:val="Heading1"/>
      </w:pPr>
      <w:bookmarkStart w:id="4" w:name="O_694644"/>
      <w:bookmarkEnd w:id="4"/>
      <w:r w:rsidRPr="00B71F9B">
        <w:t>Elements and Performance Criteria</w:t>
      </w:r>
    </w:p>
    <w:tbl>
      <w:tblPr>
        <w:tblW w:w="9236" w:type="dxa"/>
        <w:tblLayout w:type="fixed"/>
        <w:tblCellMar>
          <w:left w:w="62" w:type="dxa"/>
          <w:right w:w="62" w:type="dxa"/>
        </w:tblCellMar>
        <w:tblLook w:val="0000"/>
      </w:tblPr>
      <w:tblGrid>
        <w:gridCol w:w="2645"/>
        <w:gridCol w:w="6591"/>
      </w:tblGrid>
      <w:tr w:rsidTr="00B71F9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1F9B" w:rsidP="00B71F9B">
            <w:pPr>
              <w:pStyle w:val="BodyText"/>
            </w:pPr>
            <w:r w:rsidRPr="00B71F9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1F9B">
            <w:pPr>
              <w:pStyle w:val="BodyText"/>
              <w:rPr>
                <w:lang w:val="en-NZ"/>
              </w:rPr>
            </w:pPr>
            <w:r w:rsidRPr="00B71F9B">
              <w:rPr>
                <w:rStyle w:val="SpecialBold"/>
              </w:rPr>
              <w:t>PERFORMANCE CRITERIA</w:t>
            </w:r>
          </w:p>
        </w:tc>
      </w:tr>
      <w:tr w:rsidTr="00B71F9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rPr>
                <w:rStyle w:val="Emphasis"/>
              </w:rPr>
              <w:t>Performance criteria describe the performance needed to demonstrate achievement of the element.</w:t>
            </w:r>
          </w:p>
        </w:tc>
      </w:tr>
      <w:tr w:rsidTr="00B71F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1. Set up electronic monitoring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t>1.1 Parameters are set according to job type and specifications and enterprise</w:t>
            </w:r>
            <w:r w:rsidRPr="00B71F9B">
              <w:t xml:space="preserve"> procedures </w:t>
            </w:r>
          </w:p>
          <w:p w:rsidR="00000000" w:rsidRPr="00B71F9B" w:rsidP="00B71F9B">
            <w:pPr>
              <w:pStyle w:val="BodyText"/>
            </w:pPr>
            <w:r w:rsidRPr="00B71F9B">
              <w:t xml:space="preserve">1.2 Monitoring system is positioned according to job type and specifications </w:t>
            </w:r>
          </w:p>
          <w:p w:rsidR="00000000" w:rsidRPr="00B71F9B" w:rsidP="00B71F9B">
            <w:pPr>
              <w:pStyle w:val="BodyText"/>
            </w:pPr>
            <w:r w:rsidRPr="00B71F9B">
              <w:t xml:space="preserve">1.3 Ejection system is positioned according to job type and specifications, where relevant </w:t>
            </w:r>
          </w:p>
          <w:p w:rsidR="00000000" w:rsidRPr="00B71F9B" w:rsidP="00B71F9B">
            <w:pPr>
              <w:pStyle w:val="BodyText"/>
            </w:pPr>
            <w:r w:rsidRPr="00B71F9B">
              <w:t>1.4 Marking system is positioned according to job type and specifications</w:t>
            </w:r>
            <w:r w:rsidRPr="00B71F9B">
              <w:t xml:space="preserve">, where relevant </w:t>
            </w:r>
          </w:p>
          <w:p w:rsidR="00000000" w:rsidP="00B71F9B">
            <w:pPr>
              <w:pStyle w:val="BodyText"/>
              <w:rPr>
                <w:lang w:val="en-NZ"/>
              </w:rPr>
            </w:pPr>
            <w:r w:rsidRPr="00B71F9B">
              <w:t xml:space="preserve">1.5 ‘Learn’ function is started to identify sheets and signatures, where relevant  </w:t>
            </w:r>
          </w:p>
        </w:tc>
      </w:tr>
      <w:tr w:rsidTr="00B71F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2. Run job and monitor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t xml:space="preserve">2.1 Glue line registration and glue application is monitored to ensure product conforms to job specifications </w:t>
            </w:r>
          </w:p>
          <w:p w:rsidR="00000000" w:rsidRPr="00B71F9B" w:rsidP="00B71F9B">
            <w:pPr>
              <w:pStyle w:val="BodyText"/>
            </w:pPr>
            <w:r w:rsidRPr="00B71F9B">
              <w:t xml:space="preserve">2.2 Machine is adjusted if the number of rejects exceeds specified limits </w:t>
            </w:r>
          </w:p>
          <w:p w:rsidR="00000000" w:rsidRPr="00B71F9B" w:rsidP="00B71F9B">
            <w:pPr>
              <w:pStyle w:val="BodyText"/>
            </w:pPr>
            <w:r w:rsidRPr="00B71F9B">
              <w:t xml:space="preserve">2.3 Reasons for stoppages are identified and corrected </w:t>
            </w:r>
          </w:p>
          <w:p w:rsidR="00000000" w:rsidP="00B71F9B">
            <w:pPr>
              <w:pStyle w:val="BodyText"/>
              <w:rPr>
                <w:lang w:val="en-NZ"/>
              </w:rPr>
            </w:pPr>
            <w:r w:rsidRPr="00B71F9B">
              <w:t xml:space="preserve">2.4 Initial set-up parameters are monitored and reviewed to ensure smooth production of quality product </w:t>
            </w:r>
          </w:p>
        </w:tc>
      </w:tr>
      <w:tr w:rsidTr="00B71F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3. Review productio</w:t>
            </w:r>
            <w:r w:rsidRPr="00B71F9B">
              <w:t>n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t xml:space="preserve">3.1 Production rejects are monitored and causes identified </w:t>
            </w:r>
          </w:p>
          <w:p w:rsidR="00000000" w:rsidRPr="00B71F9B" w:rsidP="00B71F9B">
            <w:pPr>
              <w:pStyle w:val="BodyText"/>
            </w:pPr>
            <w:r w:rsidRPr="00B71F9B">
              <w:t xml:space="preserve">3.2 Overall data is reviewed at the end of the product run </w:t>
            </w:r>
          </w:p>
          <w:p w:rsidR="00000000" w:rsidRPr="00B71F9B" w:rsidP="00B71F9B">
            <w:pPr>
              <w:pStyle w:val="BodyText"/>
            </w:pPr>
            <w:r w:rsidRPr="00B71F9B">
              <w:t xml:space="preserve">3.3 Information on production documentation is recorded as required </w:t>
            </w:r>
          </w:p>
        </w:tc>
      </w:tr>
    </w:tbl>
    <w:p w:rsidR="00000000" w:rsidRPr="00B71F9B" w:rsidP="00B71F9B">
      <w:pPr>
        <w:pStyle w:val="BodyText"/>
      </w:pPr>
    </w:p>
    <w:p w:rsidR="00000000" w:rsidRPr="00B71F9B" w:rsidP="00B71F9B">
      <w:pPr>
        <w:pStyle w:val="AllowPageBreak"/>
      </w:pPr>
    </w:p>
    <w:p w:rsidR="00000000" w:rsidRPr="00B71F9B" w:rsidP="00B71F9B">
      <w:pPr>
        <w:pStyle w:val="Heading1"/>
      </w:pPr>
      <w:bookmarkStart w:id="5" w:name="O_694645"/>
      <w:bookmarkEnd w:id="5"/>
      <w:r w:rsidRPr="00B71F9B">
        <w:t>Foundation Skills</w:t>
      </w:r>
    </w:p>
    <w:p w:rsidR="00000000" w:rsidRPr="00914338" w:rsidP="00914338">
      <w:pPr>
        <w:pStyle w:val="BodyText"/>
        <w:rPr>
          <w:i/>
        </w:rPr>
      </w:pPr>
      <w:r w:rsidRPr="00914338">
        <w:rPr>
          <w:rStyle w:val="Emphasis"/>
        </w:rPr>
        <w:t xml:space="preserve">This section describes </w:t>
      </w:r>
      <w:r w:rsidRPr="00914338">
        <w:rPr>
          <w:rStyle w:val="Emphasis"/>
        </w:rPr>
        <w:t>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B71F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rPr>
                <w:rStyle w:val="SpecialBold"/>
              </w:rPr>
              <w:t>Performance</w:t>
            </w:r>
          </w:p>
          <w:p w:rsidR="00000000" w:rsidRPr="00B71F9B" w:rsidP="00B71F9B">
            <w:pPr>
              <w:pStyle w:val="BodyText"/>
            </w:pPr>
            <w:r w:rsidRPr="00B71F9B">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rPr>
                <w:rStyle w:val="SpecialBold"/>
              </w:rPr>
              <w:t>Description</w:t>
            </w:r>
          </w:p>
        </w:tc>
      </w:tr>
      <w:tr w:rsidTr="00B71F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1.1-1.4, 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ListBullet"/>
              <w:rPr>
                <w:lang w:val="en-NZ"/>
              </w:rPr>
            </w:pPr>
            <w:r w:rsidRPr="00B71F9B">
              <w:t>Recognises and interprets text to establish job requirements from information contained within relevant procedures and specifications</w:t>
            </w:r>
          </w:p>
        </w:tc>
      </w:tr>
      <w:tr w:rsidTr="00B71F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ListBullet"/>
              <w:rPr>
                <w:lang w:val="en-NZ"/>
              </w:rPr>
            </w:pPr>
            <w:r w:rsidRPr="00B71F9B">
              <w:t xml:space="preserve">Enters routine data associated with production processes according to organisational requirements </w:t>
            </w:r>
          </w:p>
        </w:tc>
      </w:tr>
      <w:tr w:rsidTr="00B71F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Navigate</w:t>
            </w:r>
            <w:r w:rsidRPr="00B71F9B">
              <w:t xml:space="preserv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1.1, 2.4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ListBullet"/>
              <w:rPr>
                <w:lang w:val="en-NZ"/>
              </w:rPr>
            </w:pPr>
            <w:r w:rsidRPr="00B71F9B">
              <w:t>Recognises and follows all procedures for operation of equipment, incorporating regulatory requirements and enterprise procedures</w:t>
            </w:r>
          </w:p>
        </w:tc>
      </w:tr>
      <w:tr w:rsidTr="00B71F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1.1-1.5, 2.1-2.4,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ListBullet"/>
            </w:pPr>
            <w:r w:rsidRPr="00B71F9B">
              <w:t>Determines priorities and s</w:t>
            </w:r>
            <w:r w:rsidRPr="00B71F9B">
              <w:t>equences steps involved in clearly defined, familiar tasks</w:t>
            </w:r>
          </w:p>
          <w:p w:rsidR="00000000" w:rsidRPr="00B71F9B" w:rsidP="00B71F9B">
            <w:pPr>
              <w:pStyle w:val="ListBullet"/>
            </w:pPr>
            <w:r w:rsidRPr="00B71F9B">
              <w:t xml:space="preserve">Applies analytical processes to identify causes of production problems  </w:t>
            </w:r>
          </w:p>
          <w:p w:rsidR="00000000" w:rsidRPr="00B71F9B" w:rsidP="00B71F9B">
            <w:pPr>
              <w:pStyle w:val="ListBullet"/>
            </w:pPr>
            <w:r w:rsidRPr="00B71F9B">
              <w:t>Follows routine procedures for using digital technology by reading data from electronic monitoring and control systems</w:t>
            </w:r>
          </w:p>
        </w:tc>
      </w:tr>
    </w:tbl>
    <w:p w:rsidR="00000000" w:rsidRPr="00B71F9B" w:rsidP="00B71F9B">
      <w:pPr>
        <w:pStyle w:val="BodyText"/>
      </w:pPr>
    </w:p>
    <w:p w:rsidR="00000000" w:rsidRPr="00B71F9B" w:rsidP="00B71F9B">
      <w:pPr>
        <w:pStyle w:val="AllowPageBreak"/>
      </w:pPr>
    </w:p>
    <w:p w:rsidR="00000000" w:rsidRPr="00B71F9B" w:rsidP="00B71F9B">
      <w:pPr>
        <w:pStyle w:val="Heading1"/>
      </w:pPr>
      <w:bookmarkStart w:id="6" w:name="O_694647"/>
      <w:bookmarkEnd w:id="6"/>
      <w:r w:rsidRPr="00B71F9B">
        <w:t>Unit Mapping Information</w:t>
      </w:r>
    </w:p>
    <w:tbl>
      <w:tblPr>
        <w:tblW w:w="0" w:type="auto"/>
        <w:tblLayout w:type="fixed"/>
        <w:tblCellMar>
          <w:left w:w="62" w:type="dxa"/>
          <w:right w:w="62" w:type="dxa"/>
        </w:tblCellMar>
        <w:tblLook w:val="0000"/>
      </w:tblPr>
      <w:tblGrid>
        <w:gridCol w:w="2220"/>
        <w:gridCol w:w="2295"/>
        <w:gridCol w:w="2430"/>
        <w:gridCol w:w="2160"/>
      </w:tblGrid>
      <w:tr w:rsidTr="00B71F9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rPr>
                <w:rStyle w:val="SpecialBold"/>
              </w:rPr>
              <w:t xml:space="preserve">Code and title </w:t>
            </w:r>
          </w:p>
          <w:p w:rsidR="00000000" w:rsidRPr="00B71F9B" w:rsidP="00B71F9B">
            <w:pPr>
              <w:pStyle w:val="BodyText"/>
            </w:pPr>
            <w:r w:rsidRPr="00B71F9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rPr>
                <w:rStyle w:val="SpecialBold"/>
              </w:rPr>
              <w:t>Code and title</w:t>
            </w:r>
          </w:p>
          <w:p w:rsidR="00000000" w:rsidRPr="00B71F9B" w:rsidP="00B71F9B">
            <w:pPr>
              <w:pStyle w:val="BodyText"/>
            </w:pPr>
            <w:r w:rsidRPr="00B71F9B">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rPr>
                <w:rStyle w:val="SpecialBold"/>
              </w:rPr>
              <w:t>Equivalence status</w:t>
            </w:r>
          </w:p>
        </w:tc>
      </w:tr>
      <w:tr w:rsidTr="00B71F9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ICPCBF391 Use electronic monitoring systems (converting and finishing)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ICPCF391C Use electronic monitoring systems (converting and finishing)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t>Equivalent unit</w:t>
            </w:r>
          </w:p>
        </w:tc>
      </w:tr>
    </w:tbl>
    <w:p w:rsidR="00000000" w:rsidRPr="00B71F9B" w:rsidP="00B71F9B">
      <w:pPr>
        <w:pStyle w:val="BodyText"/>
      </w:pPr>
    </w:p>
    <w:p w:rsidR="00000000" w:rsidRPr="00B71F9B" w:rsidP="00B71F9B">
      <w:pPr>
        <w:pStyle w:val="AllowPageBreak"/>
      </w:pPr>
    </w:p>
    <w:p w:rsidR="00000000" w:rsidRPr="00B71F9B" w:rsidP="00B71F9B">
      <w:pPr>
        <w:pStyle w:val="Heading1"/>
      </w:pPr>
      <w:bookmarkStart w:id="7" w:name="O_694654"/>
      <w:bookmarkEnd w:id="7"/>
      <w:r w:rsidRPr="00B71F9B">
        <w:t>Links</w:t>
      </w:r>
    </w:p>
    <w:p w:rsidR="00000000" w:rsidRPr="00B71F9B" w:rsidP="00914338">
      <w:pPr>
        <w:pStyle w:val="BodyText"/>
      </w:pPr>
      <w:r w:rsidRPr="00B71F9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17135">
        <w:rPr>
          <w:rStyle w:val="Hyperlink"/>
        </w:rPr>
        <w:t>https://vetnet.gov.au/Pages/TrainingDocs.aspx?q=a74b7a0f-a253-47e3-8be0-5d426e24131d</w:t>
      </w:r>
      <w:r>
        <w:fldChar w:fldCharType="end"/>
      </w:r>
    </w:p>
    <w:p w:rsidR="00000000" w:rsidRPr="00B71F9B" w:rsidP="00914338">
      <w:pPr>
        <w:pStyle w:val="BodyText"/>
        <w:sectPr w:rsidSect="00B71F9B">
          <w:headerReference w:type="default" r:id="rId10"/>
          <w:footerReference w:type="default" r:id="rId11"/>
          <w:pgSz w:w="11908" w:h="16833"/>
          <w:pgMar w:top="1702" w:right="1418" w:bottom="1702" w:left="1418" w:header="992" w:footer="992" w:gutter="0"/>
          <w:cols w:space="720"/>
          <w:noEndnote/>
          <w:docGrid w:linePitch="299"/>
        </w:sectPr>
      </w:pPr>
    </w:p>
    <w:p w:rsidR="00000000" w:rsidRPr="00B71F9B" w:rsidP="00B71F9B">
      <w:pPr>
        <w:pStyle w:val="SuperHeading"/>
      </w:pPr>
      <w:r w:rsidRPr="00B71F9B">
        <w:t>Assessment Requirements for ICPCBF391 Use electronic monitoring systems (converting and finishing)</w:t>
      </w:r>
    </w:p>
    <w:p w:rsidR="00000000" w:rsidRPr="00B71F9B" w:rsidP="00B71F9B">
      <w:pPr>
        <w:pStyle w:val="Heading1"/>
      </w:pPr>
      <w:bookmarkStart w:id="8" w:name="O_694649"/>
      <w:bookmarkEnd w:id="8"/>
      <w:r w:rsidRPr="00B71F9B">
        <w:t>Modification History</w:t>
      </w:r>
    </w:p>
    <w:tbl>
      <w:tblPr>
        <w:tblW w:w="0" w:type="auto"/>
        <w:tblLayout w:type="fixed"/>
        <w:tblCellMar>
          <w:left w:w="62" w:type="dxa"/>
          <w:right w:w="62" w:type="dxa"/>
        </w:tblCellMar>
        <w:tblLook w:val="0000"/>
      </w:tblPr>
      <w:tblGrid>
        <w:gridCol w:w="2627"/>
        <w:gridCol w:w="6337"/>
      </w:tblGrid>
      <w:tr w:rsidTr="00B71F9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rPr>
                <w:rStyle w:val="SpecialBold"/>
              </w:rPr>
              <w:t>Comments</w:t>
            </w:r>
          </w:p>
        </w:tc>
      </w:tr>
      <w:tr w:rsidTr="00B71F9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9B">
            <w:pPr>
              <w:pStyle w:val="BodyText"/>
              <w:rPr>
                <w:lang w:val="en-NZ"/>
              </w:rPr>
            </w:pPr>
            <w:r w:rsidRPr="00B71F9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9B" w:rsidP="00B71F9B">
            <w:pPr>
              <w:pStyle w:val="BodyText"/>
            </w:pPr>
            <w:r w:rsidRPr="00B71F9B">
              <w:t>This version first released with ICP Printing and Graphic Arts Training Package Version 1.0.</w:t>
            </w:r>
          </w:p>
        </w:tc>
      </w:tr>
    </w:tbl>
    <w:p w:rsidR="00000000" w:rsidRPr="00B71F9B" w:rsidP="00B71F9B">
      <w:pPr>
        <w:pStyle w:val="BodyText"/>
      </w:pPr>
    </w:p>
    <w:p w:rsidR="00000000" w:rsidRPr="00B71F9B" w:rsidP="00B71F9B">
      <w:pPr>
        <w:pStyle w:val="AllowPageBreak"/>
      </w:pPr>
    </w:p>
    <w:p w:rsidR="00000000" w:rsidRPr="00B71F9B" w:rsidP="00B71F9B">
      <w:pPr>
        <w:pStyle w:val="Heading1"/>
      </w:pPr>
      <w:bookmarkStart w:id="9" w:name="O_694650"/>
      <w:bookmarkEnd w:id="9"/>
      <w:r w:rsidRPr="00B71F9B">
        <w:t>Performance Evidence</w:t>
      </w:r>
    </w:p>
    <w:p w:rsidR="00000000" w:rsidRPr="00B71F9B" w:rsidP="00914338">
      <w:pPr>
        <w:pStyle w:val="BodyText"/>
      </w:pPr>
      <w:r w:rsidRPr="00B71F9B">
        <w:t>Evidence of the ability to:</w:t>
      </w:r>
    </w:p>
    <w:p w:rsidR="00000000" w:rsidRPr="00B71F9B" w:rsidP="00B71F9B">
      <w:pPr>
        <w:pStyle w:val="ListBullet"/>
      </w:pPr>
      <w:r w:rsidRPr="00B71F9B">
        <w:t>correctly set up and use electronic monitoring systems for glue lines, gatherers and</w:t>
      </w:r>
      <w:r w:rsidRPr="00B71F9B">
        <w:t xml:space="preserve"> folders for TWO different jobs (preferably of different sizes and substrates), according to manufacturer’s and job specifications, enterprise procedures and listed performance criteria</w:t>
      </w:r>
    </w:p>
    <w:p w:rsidR="00000000" w:rsidRPr="00B71F9B" w:rsidP="00B71F9B">
      <w:pPr>
        <w:pStyle w:val="ListBullet"/>
      </w:pPr>
      <w:r w:rsidRPr="00B71F9B">
        <w:t>demonstrate an ability to retrieve information from the electronic system.</w:t>
      </w:r>
    </w:p>
    <w:p w:rsidR="00000000" w:rsidRPr="00B71F9B" w:rsidP="00B71F9B">
      <w:pPr>
        <w:pStyle w:val="BodyText"/>
      </w:pPr>
    </w:p>
    <w:p w:rsidR="00000000" w:rsidRPr="00B71F9B" w:rsidP="00914338">
      <w:pPr>
        <w:pStyle w:val="BodyText"/>
      </w:pPr>
      <w:r w:rsidRPr="00B71F9B">
        <w:t>Note: If a specific volume or frequency is not stated, then evidence must be provided at least once.</w:t>
      </w:r>
    </w:p>
    <w:p w:rsidR="00000000" w:rsidRPr="00B71F9B" w:rsidP="00B71F9B">
      <w:pPr>
        <w:pStyle w:val="Heading1"/>
      </w:pPr>
      <w:bookmarkStart w:id="10" w:name="O_694651"/>
      <w:bookmarkEnd w:id="10"/>
      <w:r w:rsidRPr="00B71F9B">
        <w:t>Knowledge Evidence</w:t>
      </w:r>
    </w:p>
    <w:p w:rsidR="00000000" w:rsidRPr="00B71F9B" w:rsidP="00914338">
      <w:pPr>
        <w:pStyle w:val="BodyText"/>
      </w:pPr>
      <w:r w:rsidRPr="00B71F9B">
        <w:t>To complete the unit requirements safely an</w:t>
      </w:r>
      <w:r w:rsidRPr="00B71F9B">
        <w:t>d effectively, the individual must:</w:t>
      </w:r>
    </w:p>
    <w:p w:rsidR="00000000" w:rsidRPr="00B71F9B" w:rsidP="00B71F9B">
      <w:pPr>
        <w:pStyle w:val="ListBullet"/>
      </w:pPr>
      <w:r w:rsidRPr="00B71F9B">
        <w:t>explain work health and safety factors for setting up and operating electronic monitoring systems</w:t>
      </w:r>
    </w:p>
    <w:p w:rsidR="00000000" w:rsidRPr="00B71F9B" w:rsidP="00B71F9B">
      <w:pPr>
        <w:pStyle w:val="ListBullet"/>
      </w:pPr>
      <w:r w:rsidRPr="00B71F9B">
        <w:t>explain importance of distance between cartons on the machine for production and for the operation of the electronic moni</w:t>
      </w:r>
      <w:r w:rsidRPr="00B71F9B">
        <w:t>toring system, as well as checking the ejector (or marker) for correct operation</w:t>
      </w:r>
    </w:p>
    <w:p w:rsidR="00000000" w:rsidRPr="00B71F9B" w:rsidP="00B71F9B">
      <w:pPr>
        <w:pStyle w:val="ListBullet"/>
      </w:pPr>
      <w:r w:rsidRPr="00B71F9B">
        <w:t>explain different carton types and substrates, and the effect on the amount and position of glue required for different carton types</w:t>
      </w:r>
    </w:p>
    <w:p w:rsidR="00000000" w:rsidRPr="00B71F9B" w:rsidP="00B71F9B">
      <w:pPr>
        <w:pStyle w:val="ListBullet"/>
      </w:pPr>
      <w:r w:rsidRPr="00B71F9B">
        <w:t>describe the result of too much or too lit</w:t>
      </w:r>
      <w:r w:rsidRPr="00B71F9B">
        <w:t xml:space="preserve">tle glue, and explain the correction process </w:t>
      </w:r>
    </w:p>
    <w:p w:rsidR="00000000" w:rsidRPr="00B71F9B" w:rsidP="00B71F9B">
      <w:pPr>
        <w:pStyle w:val="ListBullet"/>
      </w:pPr>
      <w:r w:rsidRPr="00B71F9B">
        <w:t>describe the result of an incorrectly positioned glue line and explain the process to adjust the position with respect to the length of the glue flap</w:t>
      </w:r>
    </w:p>
    <w:p w:rsidR="00000000" w:rsidRPr="00B71F9B" w:rsidP="00B71F9B">
      <w:pPr>
        <w:pStyle w:val="ListBullet"/>
      </w:pPr>
      <w:r w:rsidRPr="00B71F9B">
        <w:t>determine what machine faults are registered on the EMS</w:t>
      </w:r>
    </w:p>
    <w:p w:rsidR="00000000" w:rsidRPr="00B71F9B" w:rsidP="00B71F9B">
      <w:pPr>
        <w:pStyle w:val="ListBullet"/>
      </w:pPr>
      <w:r w:rsidRPr="00B71F9B">
        <w:t>list</w:t>
      </w:r>
      <w:r w:rsidRPr="00B71F9B">
        <w:t xml:space="preserve"> parts of the folding/gluing system that cause the monitoring system to reject product</w:t>
      </w:r>
    </w:p>
    <w:p w:rsidR="00000000" w:rsidRPr="00B71F9B" w:rsidP="00B71F9B">
      <w:pPr>
        <w:pStyle w:val="ListBullet"/>
      </w:pPr>
      <w:r w:rsidRPr="00B71F9B">
        <w:t>list ways of ensuring the EMS is ejecting/marking only faulty cartons</w:t>
      </w:r>
    </w:p>
    <w:p w:rsidR="00000000" w:rsidRPr="00B71F9B" w:rsidP="00B71F9B">
      <w:pPr>
        <w:pStyle w:val="ListBullet"/>
      </w:pPr>
      <w:r w:rsidRPr="00B71F9B">
        <w:t>identify parts of the machine to adjust if reject cartons are not correctly identified and culled</w:t>
      </w:r>
    </w:p>
    <w:p w:rsidR="00000000" w:rsidRPr="00B71F9B" w:rsidP="00B71F9B">
      <w:pPr>
        <w:pStyle w:val="ListBullet"/>
      </w:pPr>
      <w:r w:rsidRPr="00B71F9B">
        <w:t>l</w:t>
      </w:r>
      <w:r w:rsidRPr="00B71F9B">
        <w:t>ist faults likely to trigger the signature or sheet monitoring system</w:t>
      </w:r>
    </w:p>
    <w:p w:rsidR="00000000" w:rsidRPr="00B71F9B" w:rsidP="00B71F9B">
      <w:pPr>
        <w:pStyle w:val="ListBullet"/>
      </w:pPr>
      <w:r w:rsidRPr="00B71F9B">
        <w:t>identify the cause of common faults and how can they be avoided and corrected</w:t>
      </w:r>
    </w:p>
    <w:p w:rsidR="00000000" w:rsidRPr="00B71F9B" w:rsidP="00B71F9B">
      <w:pPr>
        <w:pStyle w:val="ListBullet"/>
      </w:pPr>
      <w:r w:rsidRPr="00B71F9B">
        <w:t>explain quality principles behind the use of electronic monitoring</w:t>
      </w:r>
    </w:p>
    <w:p w:rsidR="00000000" w:rsidRPr="00B71F9B" w:rsidP="00B71F9B">
      <w:pPr>
        <w:pStyle w:val="ListBullet"/>
      </w:pPr>
      <w:r w:rsidRPr="00B71F9B">
        <w:t>explain work procedures to implement to m</w:t>
      </w:r>
      <w:r w:rsidRPr="00B71F9B">
        <w:t>inimise faults</w:t>
      </w:r>
    </w:p>
    <w:p w:rsidR="00000000" w:rsidRPr="00B71F9B" w:rsidP="00B71F9B">
      <w:pPr>
        <w:pStyle w:val="ListBullet"/>
      </w:pPr>
      <w:r w:rsidRPr="00B71F9B">
        <w:t xml:space="preserve">identify production records to be kept or written up, and the information to be included </w:t>
      </w:r>
    </w:p>
    <w:p w:rsidR="00000000" w:rsidRPr="00B71F9B" w:rsidP="00B71F9B">
      <w:pPr>
        <w:pStyle w:val="ListBullet"/>
      </w:pPr>
      <w:r w:rsidRPr="00B71F9B">
        <w:t>list steps to ensure important features of the EMS are followed</w:t>
      </w:r>
    </w:p>
    <w:p w:rsidR="00000000" w:rsidRPr="00B71F9B" w:rsidP="00B71F9B">
      <w:pPr>
        <w:pStyle w:val="ListBullet"/>
      </w:pPr>
      <w:r w:rsidRPr="00B71F9B">
        <w:t>identify machine manuals, safety and other documentation relevant to this task, where they are kept, and the information included in them.</w:t>
      </w:r>
    </w:p>
    <w:p w:rsidR="00000000" w:rsidRPr="00B71F9B" w:rsidP="00B71F9B">
      <w:pPr>
        <w:pStyle w:val="AllowPageBreak"/>
      </w:pPr>
    </w:p>
    <w:p w:rsidR="00000000" w:rsidRPr="00B71F9B" w:rsidP="00B71F9B">
      <w:pPr>
        <w:pStyle w:val="Heading1"/>
      </w:pPr>
      <w:bookmarkStart w:id="11" w:name="O_694652"/>
      <w:bookmarkEnd w:id="11"/>
      <w:r w:rsidRPr="00B71F9B">
        <w:t>Assessment Conditions</w:t>
      </w:r>
    </w:p>
    <w:p w:rsidR="00000000" w:rsidRPr="00B71F9B" w:rsidP="00914338">
      <w:pPr>
        <w:pStyle w:val="BodyText"/>
      </w:pPr>
      <w:r w:rsidRPr="00B71F9B">
        <w:t>Gather evidence to demonstrate consistent performance in conditions that are s</w:t>
      </w:r>
      <w:r w:rsidRPr="00B71F9B">
        <w:t>afe and replicate the workplace. Noise levels, production flow, interruptions and time variances must be typical of those experienced in the converting, binding and finishing field of work and include access to facilities, equipment and materials used with</w:t>
      </w:r>
      <w:r w:rsidRPr="00B71F9B">
        <w:t xml:space="preserve"> electronic monitoring systems.</w:t>
      </w:r>
    </w:p>
    <w:p w:rsidR="00000000" w:rsidRPr="00B71F9B" w:rsidP="00914338">
      <w:pPr>
        <w:pStyle w:val="BodyText"/>
      </w:pPr>
      <w:r w:rsidRPr="00B71F9B">
        <w:t>Assessors must satisfy NVR/AQTF assessor requirements.</w:t>
      </w:r>
    </w:p>
    <w:p w:rsidR="00000000" w:rsidRPr="00B71F9B" w:rsidP="00B71F9B">
      <w:pPr>
        <w:pStyle w:val="Heading1"/>
      </w:pPr>
      <w:bookmarkStart w:id="12" w:name="O_694655"/>
      <w:bookmarkEnd w:id="12"/>
      <w:r w:rsidRPr="00B71F9B">
        <w:t>Links</w:t>
      </w:r>
    </w:p>
    <w:p w:rsidR="00000000" w:rsidRPr="00B71F9B" w:rsidP="00914338">
      <w:pPr>
        <w:pStyle w:val="BodyText"/>
      </w:pPr>
      <w:r w:rsidRPr="00B71F9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17135">
        <w:rPr>
          <w:rStyle w:val="Hyperlink"/>
        </w:rPr>
        <w:t>https://vetnet.gov.au/Pages/TrainingDocs.aspx?q=a74b7a0f-a253-47e3-8be0-5d426e24131d</w:t>
      </w:r>
      <w:r>
        <w:fldChar w:fldCharType="end"/>
      </w:r>
    </w:p>
    <w:p w:rsidR="00000000" w:rsidRPr="00B71F9B" w:rsidP="00B71F9B"/>
    <w:sectPr w:rsidSect="00B71F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9B" w:rsidRPr="00914338" w:rsidP="00914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38" w:rsidP="00B71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338" w:rsidP="00B71F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4338" w:rsidP="00B71F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9B" w:rsidP="00B71F9B">
    <w:pPr>
      <w:pStyle w:val="Footer"/>
      <w:framePr w:wrap="around"/>
    </w:pPr>
    <w:r>
      <w:fldChar w:fldCharType="begin"/>
    </w:r>
    <w:r>
      <w:instrText xml:space="preserve"> DOCPROPERTY  Subject  \* MERGEFORMAT </w:instrText>
    </w:r>
    <w:r>
      <w:fldChar w:fldCharType="separate"/>
    </w:r>
    <w:r w:rsidR="00914338">
      <w:t>Approved</w:t>
    </w:r>
    <w:r w:rsidR="00914338">
      <w:fldChar w:fldCharType="end"/>
    </w:r>
    <w:r>
      <w:tab/>
      <w:t xml:space="preserve">Page </w:t>
    </w:r>
    <w:r>
      <w:fldChar w:fldCharType="begin"/>
    </w:r>
    <w:r>
      <w:instrText xml:space="preserve"> PAGE  \* Arabic  \* MERGEFORMAT </w:instrText>
    </w:r>
    <w:r>
      <w:fldChar w:fldCharType="separate"/>
    </w:r>
    <w:r w:rsidR="009143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338">
      <w:rPr>
        <w:noProof/>
      </w:rPr>
      <w:t>4</w:t>
    </w:r>
    <w:r>
      <w:rPr>
        <w:noProof/>
      </w:rPr>
      <w:fldChar w:fldCharType="end"/>
    </w:r>
  </w:p>
  <w:p w:rsidR="00B71F9B" w:rsidP="00B71F9B">
    <w:pPr>
      <w:pStyle w:val="Footer"/>
      <w:framePr w:wrap="around"/>
    </w:pPr>
    <w:r>
      <w:t xml:space="preserve">© Commonwealth of Australia, </w:t>
    </w:r>
    <w:r>
      <w:fldChar w:fldCharType="begin"/>
    </w:r>
    <w:r>
      <w:instrText xml:space="preserve"> DATE  \@ "yyyy"  \* MERGEFORMAT </w:instrText>
    </w:r>
    <w:r>
      <w:fldChar w:fldCharType="separate"/>
    </w:r>
    <w:r w:rsidR="00914338">
      <w:rPr>
        <w:noProof/>
      </w:rPr>
      <w:t>2025</w:t>
    </w:r>
    <w:r>
      <w:fldChar w:fldCharType="end"/>
    </w:r>
    <w:r>
      <w:tab/>
    </w:r>
    <w:r>
      <w:fldChar w:fldCharType="begin"/>
    </w:r>
    <w:r>
      <w:instrText xml:space="preserve"> DOCPROPERTY  Author  \* MERGEFORMAT </w:instrText>
    </w:r>
    <w:r>
      <w:fldChar w:fldCharType="separate"/>
    </w:r>
    <w:r w:rsidR="00914338">
      <w:t>Manufacturing Industry Skills Alliance</w:t>
    </w:r>
    <w:r w:rsidR="00914338">
      <w:fldChar w:fldCharType="end"/>
    </w:r>
  </w:p>
  <w:p w:rsidR="00B71F9B" w:rsidP="00B71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F9B" w:rsidRPr="00914338" w:rsidP="009143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38" w:rsidRPr="002D2AF8" w:rsidP="00B71F9B">
    <w:pPr>
      <w:pStyle w:val="Header"/>
      <w:framePr w:wrap="around"/>
    </w:pPr>
    <w:r>
      <w:fldChar w:fldCharType="begin"/>
    </w:r>
    <w:r>
      <w:instrText xml:space="preserve"> TITLE   \* MERGEFORMAT </w:instrText>
    </w:r>
    <w:r>
      <w:fldChar w:fldCharType="separate"/>
    </w:r>
    <w:r>
      <w:t>ICPCBF391 Use electronic monitoring systems (converting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4338" w:rsidP="00B71F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9B" w:rsidRPr="002D2AF8" w:rsidP="00B71F9B">
    <w:pPr>
      <w:pStyle w:val="Header"/>
      <w:framePr w:wrap="around"/>
    </w:pPr>
    <w:r>
      <w:fldChar w:fldCharType="begin"/>
    </w:r>
    <w:r>
      <w:instrText xml:space="preserve"> TITLE   \* MERGEFORMAT </w:instrText>
    </w:r>
    <w:r>
      <w:fldChar w:fldCharType="separate"/>
    </w:r>
    <w:r w:rsidR="00914338">
      <w:t>ICPCBF391 Use electronic monitoring systems (converting and finishing)</w:t>
    </w:r>
    <w:r w:rsidR="00914338">
      <w:fldChar w:fldCharType="end"/>
    </w:r>
    <w:r>
      <w:tab/>
      <w:t xml:space="preserve">Date this document was generated: </w:t>
    </w:r>
    <w:r>
      <w:fldChar w:fldCharType="begin"/>
    </w:r>
    <w:r>
      <w:instrText xml:space="preserve"> CREATEDATE  \@ "d MMMM yyyy"  \* MERGEFORMAT </w:instrText>
    </w:r>
    <w:r>
      <w:fldChar w:fldCharType="separate"/>
    </w:r>
    <w:r w:rsidR="00914338">
      <w:rPr>
        <w:noProof/>
      </w:rPr>
      <w:t>2 March 2025</w:t>
    </w:r>
    <w:r>
      <w:fldChar w:fldCharType="end"/>
    </w:r>
  </w:p>
  <w:p w:rsidR="00B71F9B" w:rsidP="00B71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1AA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28D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F9B"/>
    <w:pPr>
      <w:spacing w:before="360" w:after="60"/>
      <w:outlineLvl w:val="0"/>
    </w:pPr>
    <w:rPr>
      <w:sz w:val="32"/>
    </w:rPr>
  </w:style>
  <w:style w:type="paragraph" w:styleId="Heading2">
    <w:name w:val="heading 2"/>
    <w:basedOn w:val="HeadingBase"/>
    <w:next w:val="BodyText"/>
    <w:link w:val="Heading2Char"/>
    <w:qFormat/>
    <w:rsid w:val="00B71F9B"/>
    <w:pPr>
      <w:keepLines/>
      <w:spacing w:before="240" w:after="120"/>
      <w:outlineLvl w:val="1"/>
    </w:pPr>
    <w:rPr>
      <w:sz w:val="28"/>
      <w:szCs w:val="40"/>
    </w:rPr>
  </w:style>
  <w:style w:type="paragraph" w:styleId="Heading3">
    <w:name w:val="heading 3"/>
    <w:basedOn w:val="HeadingBase"/>
    <w:next w:val="BodyText"/>
    <w:link w:val="Heading3Char"/>
    <w:qFormat/>
    <w:rsid w:val="00B71F9B"/>
    <w:pPr>
      <w:spacing w:before="180" w:after="120"/>
      <w:outlineLvl w:val="2"/>
    </w:pPr>
    <w:rPr>
      <w:spacing w:val="-10"/>
      <w:kern w:val="32"/>
    </w:rPr>
  </w:style>
  <w:style w:type="paragraph" w:styleId="Heading4">
    <w:name w:val="heading 4"/>
    <w:basedOn w:val="HeadingBase"/>
    <w:next w:val="BodyText"/>
    <w:link w:val="Heading4Char"/>
    <w:qFormat/>
    <w:rsid w:val="00B71F9B"/>
    <w:pPr>
      <w:spacing w:before="160" w:after="120"/>
      <w:outlineLvl w:val="3"/>
    </w:pPr>
    <w:rPr>
      <w:sz w:val="22"/>
    </w:rPr>
  </w:style>
  <w:style w:type="paragraph" w:styleId="Heading5">
    <w:name w:val="heading 5"/>
    <w:basedOn w:val="HeadingBase"/>
    <w:next w:val="Normal"/>
    <w:link w:val="Heading5Char"/>
    <w:qFormat/>
    <w:rsid w:val="00B71F9B"/>
    <w:pPr>
      <w:spacing w:before="80"/>
      <w:outlineLvl w:val="4"/>
    </w:pPr>
    <w:rPr>
      <w:color w:val="918585"/>
      <w:sz w:val="20"/>
    </w:rPr>
  </w:style>
  <w:style w:type="paragraph" w:styleId="Heading6">
    <w:name w:val="heading 6"/>
    <w:basedOn w:val="HeadingBase"/>
    <w:next w:val="Normal"/>
    <w:link w:val="Heading6Char"/>
    <w:qFormat/>
    <w:rsid w:val="00B71F9B"/>
    <w:pPr>
      <w:spacing w:before="60"/>
      <w:outlineLvl w:val="5"/>
    </w:pPr>
    <w:rPr>
      <w:color w:val="918585"/>
      <w:sz w:val="20"/>
    </w:rPr>
  </w:style>
  <w:style w:type="paragraph" w:styleId="Heading7">
    <w:name w:val="heading 7"/>
    <w:basedOn w:val="Normal"/>
    <w:next w:val="Normal"/>
    <w:link w:val="Heading7Char"/>
    <w:qFormat/>
    <w:rsid w:val="00B71F9B"/>
    <w:pPr>
      <w:ind w:left="720"/>
      <w:outlineLvl w:val="6"/>
    </w:pPr>
    <w:rPr>
      <w:i/>
    </w:rPr>
  </w:style>
  <w:style w:type="paragraph" w:styleId="Heading8">
    <w:name w:val="heading 8"/>
    <w:basedOn w:val="Normal"/>
    <w:next w:val="Normal"/>
    <w:link w:val="Heading8Char"/>
    <w:qFormat/>
    <w:rsid w:val="00B71F9B"/>
    <w:pPr>
      <w:ind w:left="720"/>
      <w:outlineLvl w:val="7"/>
    </w:pPr>
    <w:rPr>
      <w:i/>
    </w:rPr>
  </w:style>
  <w:style w:type="paragraph" w:styleId="Heading9">
    <w:name w:val="heading 9"/>
    <w:basedOn w:val="Normal"/>
    <w:next w:val="Normal"/>
    <w:link w:val="Heading9Char"/>
    <w:qFormat/>
    <w:rsid w:val="00B71F9B"/>
    <w:pPr>
      <w:ind w:left="720"/>
      <w:outlineLvl w:val="8"/>
    </w:pPr>
    <w:rPr>
      <w:i/>
    </w:rPr>
  </w:style>
  <w:style w:type="character" w:default="1" w:styleId="DefaultParagraphFont">
    <w:name w:val="Default Paragraph Font"/>
    <w:uiPriority w:val="1"/>
    <w:unhideWhenUsed/>
    <w:rsid w:val="00B71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F9B"/>
  </w:style>
  <w:style w:type="character" w:customStyle="1" w:styleId="Heading1Char">
    <w:name w:val="Heading 1 Char"/>
    <w:basedOn w:val="DefaultParagraphFont"/>
    <w:link w:val="Heading1"/>
    <w:rsid w:val="00B71F9B"/>
    <w:rPr>
      <w:rFonts w:ascii="Times New Roman" w:eastAsia="Times New Roman" w:hAnsi="Times New Roman" w:cs="Times New Roman"/>
      <w:b/>
      <w:sz w:val="32"/>
      <w:szCs w:val="20"/>
      <w:lang w:eastAsia="en-US"/>
    </w:rPr>
  </w:style>
  <w:style w:type="paragraph" w:styleId="BodyText">
    <w:name w:val="Body Text"/>
    <w:basedOn w:val="Normal"/>
    <w:link w:val="BodyTextChar"/>
    <w:rsid w:val="00B71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F9B"/>
    <w:rPr>
      <w:rFonts w:ascii="Times New Roman" w:eastAsia="Times New Roman" w:hAnsi="Times New Roman" w:cs="Times New Roman"/>
      <w:sz w:val="24"/>
      <w:lang w:eastAsia="en-US"/>
    </w:rPr>
  </w:style>
  <w:style w:type="paragraph" w:styleId="ListBullet">
    <w:name w:val="List Bullet"/>
    <w:basedOn w:val="List"/>
    <w:rsid w:val="00B71F9B"/>
    <w:pPr>
      <w:numPr>
        <w:numId w:val="11"/>
      </w:numPr>
      <w:tabs>
        <w:tab w:val="clear" w:pos="340"/>
      </w:tabs>
      <w:spacing w:before="40" w:after="40"/>
    </w:pPr>
  </w:style>
  <w:style w:type="character" w:customStyle="1" w:styleId="SpecialBold">
    <w:name w:val="Special Bold"/>
    <w:basedOn w:val="DefaultParagraphFont"/>
    <w:rsid w:val="00B71F9B"/>
    <w:rPr>
      <w:b/>
      <w:spacing w:val="0"/>
    </w:rPr>
  </w:style>
  <w:style w:type="character" w:styleId="Emphasis">
    <w:name w:val="Emphasis"/>
    <w:basedOn w:val="DefaultParagraphFont"/>
    <w:qFormat/>
    <w:rsid w:val="00B71F9B"/>
    <w:rPr>
      <w:i/>
    </w:rPr>
  </w:style>
  <w:style w:type="paragraph" w:customStyle="1" w:styleId="SuperHeading">
    <w:name w:val="SuperHeading"/>
    <w:basedOn w:val="Normal"/>
    <w:rsid w:val="00B71F9B"/>
    <w:pPr>
      <w:spacing w:before="240" w:after="120"/>
      <w:outlineLvl w:val="0"/>
    </w:pPr>
    <w:rPr>
      <w:rFonts w:ascii="Times New Roman" w:hAnsi="Times New Roman"/>
      <w:b/>
      <w:sz w:val="32"/>
    </w:rPr>
  </w:style>
  <w:style w:type="paragraph" w:customStyle="1" w:styleId="AllowPageBreak">
    <w:name w:val="AllowPageBreak"/>
    <w:rsid w:val="00B71F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F9B"/>
    <w:rPr>
      <w:rFonts w:ascii="Courier New" w:eastAsia="Times New Roman" w:hAnsi="Courier New" w:cs="Times New Roman"/>
      <w:i/>
      <w:szCs w:val="20"/>
      <w:lang w:eastAsia="en-US"/>
    </w:rPr>
  </w:style>
  <w:style w:type="paragraph" w:customStyle="1" w:styleId="HeadingBase">
    <w:name w:val="Heading Base"/>
    <w:rsid w:val="00B71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F9B"/>
    <w:pPr>
      <w:tabs>
        <w:tab w:val="right" w:leader="dot" w:pos="9072"/>
      </w:tabs>
      <w:ind w:left="567"/>
    </w:pPr>
    <w:rPr>
      <w:szCs w:val="22"/>
    </w:rPr>
  </w:style>
  <w:style w:type="paragraph" w:customStyle="1" w:styleId="TOCBase">
    <w:name w:val="TOC Base"/>
    <w:rsid w:val="00B71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F9B"/>
    <w:pPr>
      <w:tabs>
        <w:tab w:val="right" w:leader="dot" w:pos="9072"/>
      </w:tabs>
      <w:spacing w:before="40" w:after="40"/>
      <w:ind w:left="284"/>
    </w:pPr>
    <w:rPr>
      <w:rFonts w:ascii="Times New Roman" w:hAnsi="Times New Roman"/>
    </w:rPr>
  </w:style>
  <w:style w:type="paragraph" w:styleId="TOC1">
    <w:name w:val="toc 1"/>
    <w:basedOn w:val="TOCBase"/>
    <w:next w:val="Normal"/>
    <w:rsid w:val="00B71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F9B"/>
    <w:rPr>
      <w:rFonts w:ascii="Times New Roman" w:eastAsia="Times New Roman" w:hAnsi="Times New Roman" w:cs="Times New Roman"/>
      <w:sz w:val="16"/>
      <w:lang w:eastAsia="en-US"/>
    </w:rPr>
  </w:style>
  <w:style w:type="paragraph" w:styleId="Title">
    <w:name w:val="Title"/>
    <w:basedOn w:val="HeadingBase"/>
    <w:link w:val="TitleChar"/>
    <w:qFormat/>
    <w:rsid w:val="00B71F9B"/>
    <w:pPr>
      <w:spacing w:before="5040"/>
      <w:jc w:val="center"/>
    </w:pPr>
    <w:rPr>
      <w:sz w:val="48"/>
      <w:szCs w:val="72"/>
      <w:lang w:val="en-US"/>
    </w:rPr>
  </w:style>
  <w:style w:type="character" w:customStyle="1" w:styleId="TitleChar">
    <w:name w:val="Title Char"/>
    <w:basedOn w:val="DefaultParagraphFont"/>
    <w:link w:val="Title"/>
    <w:rsid w:val="00B71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F9B"/>
    <w:pPr>
      <w:tabs>
        <w:tab w:val="left" w:pos="3600"/>
        <w:tab w:val="left" w:pos="3958"/>
      </w:tabs>
    </w:pPr>
  </w:style>
  <w:style w:type="paragraph" w:styleId="List">
    <w:name w:val="List"/>
    <w:basedOn w:val="BodyText"/>
    <w:next w:val="BodyText"/>
    <w:rsid w:val="00B71F9B"/>
    <w:pPr>
      <w:tabs>
        <w:tab w:val="left" w:pos="340"/>
      </w:tabs>
      <w:spacing w:before="60" w:after="60"/>
      <w:ind w:left="340" w:hanging="340"/>
    </w:pPr>
  </w:style>
  <w:style w:type="paragraph" w:customStyle="1" w:styleId="Note">
    <w:name w:val="Note"/>
    <w:basedOn w:val="BodyText"/>
    <w:rsid w:val="00B71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F9B"/>
    <w:pPr>
      <w:framePr w:wrap="auto" w:hAnchor="text" w:y="6049"/>
    </w:pPr>
    <w:rPr>
      <w:color w:val="000000"/>
      <w:sz w:val="40"/>
    </w:rPr>
  </w:style>
  <w:style w:type="paragraph" w:customStyle="1" w:styleId="TOCTitle">
    <w:name w:val="TOCTitle"/>
    <w:basedOn w:val="Heading1"/>
    <w:rsid w:val="00B71F9B"/>
    <w:pPr>
      <w:spacing w:after="240"/>
      <w:jc w:val="center"/>
      <w:outlineLvl w:val="9"/>
    </w:pPr>
    <w:rPr>
      <w:caps/>
    </w:rPr>
  </w:style>
  <w:style w:type="paragraph" w:customStyle="1" w:styleId="Version">
    <w:name w:val="Version"/>
    <w:rsid w:val="00B71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1F9B"/>
    <w:pPr>
      <w:numPr>
        <w:numId w:val="12"/>
      </w:numPr>
      <w:tabs>
        <w:tab w:val="clear" w:pos="680"/>
      </w:tabs>
    </w:pPr>
  </w:style>
  <w:style w:type="paragraph" w:styleId="Index1">
    <w:name w:val="index 1"/>
    <w:basedOn w:val="Normal"/>
    <w:next w:val="Normal"/>
    <w:semiHidden/>
    <w:rsid w:val="00B71F9B"/>
    <w:pPr>
      <w:keepNext w:val="0"/>
      <w:tabs>
        <w:tab w:val="right" w:pos="4176"/>
      </w:tabs>
      <w:ind w:left="198" w:hanging="198"/>
    </w:pPr>
    <w:rPr>
      <w:rFonts w:ascii="Garamond" w:hAnsi="Garamond"/>
    </w:rPr>
  </w:style>
  <w:style w:type="paragraph" w:styleId="IndexHeading">
    <w:name w:val="index heading"/>
    <w:basedOn w:val="Normal"/>
    <w:next w:val="Index1"/>
    <w:semiHidden/>
    <w:rsid w:val="00B71F9B"/>
    <w:pPr>
      <w:spacing w:before="120" w:after="120"/>
    </w:pPr>
    <w:rPr>
      <w:rFonts w:ascii="Arial" w:hAnsi="Arial"/>
      <w:b/>
      <w:color w:val="918585"/>
      <w:sz w:val="24"/>
    </w:rPr>
  </w:style>
  <w:style w:type="paragraph" w:styleId="Header">
    <w:name w:val="header"/>
    <w:basedOn w:val="Normal"/>
    <w:link w:val="HeaderChar"/>
    <w:rsid w:val="00B71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F9B"/>
    <w:rPr>
      <w:rFonts w:ascii="Times New Roman" w:eastAsia="Times New Roman" w:hAnsi="Times New Roman" w:cs="Times New Roman"/>
      <w:sz w:val="16"/>
      <w:szCs w:val="20"/>
      <w:lang w:val="en-GB" w:eastAsia="en-US"/>
    </w:rPr>
  </w:style>
  <w:style w:type="paragraph" w:customStyle="1" w:styleId="Chapter">
    <w:name w:val="Chapter"/>
    <w:basedOn w:val="Normal"/>
    <w:rsid w:val="00B71F9B"/>
    <w:pPr>
      <w:spacing w:before="240"/>
    </w:pPr>
    <w:rPr>
      <w:rFonts w:ascii="Times New Roman" w:hAnsi="Times New Roman"/>
      <w:smallCaps/>
      <w:spacing w:val="80"/>
      <w:sz w:val="28"/>
    </w:rPr>
  </w:style>
  <w:style w:type="paragraph" w:customStyle="1" w:styleId="InChapter">
    <w:name w:val="InChapter"/>
    <w:basedOn w:val="Heading3"/>
    <w:rsid w:val="00B71F9B"/>
    <w:pPr>
      <w:spacing w:after="240"/>
      <w:outlineLvl w:val="9"/>
    </w:pPr>
    <w:rPr>
      <w:noProof/>
    </w:rPr>
  </w:style>
  <w:style w:type="paragraph" w:styleId="Index2">
    <w:name w:val="index 2"/>
    <w:basedOn w:val="Normal"/>
    <w:next w:val="Normal"/>
    <w:semiHidden/>
    <w:rsid w:val="00B71F9B"/>
    <w:pPr>
      <w:tabs>
        <w:tab w:val="right" w:pos="4176"/>
      </w:tabs>
      <w:ind w:left="568" w:hanging="284"/>
    </w:pPr>
    <w:rPr>
      <w:rFonts w:ascii="Garamond" w:hAnsi="Garamond"/>
    </w:rPr>
  </w:style>
  <w:style w:type="paragraph" w:customStyle="1" w:styleId="Byline">
    <w:name w:val="Byline"/>
    <w:rsid w:val="00B71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F9B"/>
    <w:pPr>
      <w:tabs>
        <w:tab w:val="clear" w:pos="3600"/>
        <w:tab w:val="clear" w:pos="3958"/>
      </w:tabs>
      <w:jc w:val="right"/>
    </w:pPr>
  </w:style>
  <w:style w:type="paragraph" w:styleId="Caption">
    <w:name w:val="caption"/>
    <w:basedOn w:val="BodyText"/>
    <w:next w:val="Normal"/>
    <w:qFormat/>
    <w:rsid w:val="00B71F9B"/>
    <w:pPr>
      <w:framePr w:w="2268" w:hSpace="181" w:vSpace="181" w:wrap="around" w:vAnchor="text" w:hAnchor="page" w:x="1135" w:y="285" w:anchorLock="1"/>
    </w:pPr>
    <w:rPr>
      <w:i/>
    </w:rPr>
  </w:style>
  <w:style w:type="paragraph" w:customStyle="1" w:styleId="MiniTOCTitle">
    <w:name w:val="MiniTOCTitle"/>
    <w:basedOn w:val="Heading4"/>
    <w:rsid w:val="00B71F9B"/>
    <w:pPr>
      <w:spacing w:before="240"/>
      <w:outlineLvl w:val="9"/>
    </w:pPr>
    <w:rPr>
      <w:noProof/>
      <w:sz w:val="24"/>
    </w:rPr>
  </w:style>
  <w:style w:type="paragraph" w:customStyle="1" w:styleId="MiniTOCItem">
    <w:name w:val="MiniTOCItem"/>
    <w:basedOn w:val="ListBullet"/>
    <w:rsid w:val="00B71F9B"/>
    <w:pPr>
      <w:numPr>
        <w:numId w:val="0"/>
      </w:numPr>
      <w:tabs>
        <w:tab w:val="right" w:leader="dot" w:pos="6521"/>
      </w:tabs>
      <w:spacing w:before="0" w:after="0"/>
    </w:pPr>
  </w:style>
  <w:style w:type="paragraph" w:customStyle="1" w:styleId="TOFTitle">
    <w:name w:val="TOFTitle"/>
    <w:basedOn w:val="TOCTitle"/>
    <w:rsid w:val="00B71F9B"/>
  </w:style>
  <w:style w:type="paragraph" w:styleId="TableofFigures">
    <w:name w:val="table of figures"/>
    <w:basedOn w:val="Normal"/>
    <w:next w:val="Normal"/>
    <w:semiHidden/>
    <w:rsid w:val="00B71F9B"/>
    <w:pPr>
      <w:tabs>
        <w:tab w:val="right" w:leader="dot" w:pos="9072"/>
      </w:tabs>
      <w:ind w:left="970" w:hanging="403"/>
    </w:pPr>
    <w:rPr>
      <w:rFonts w:ascii="Times New Roman" w:hAnsi="Times New Roman"/>
      <w:b/>
    </w:rPr>
  </w:style>
  <w:style w:type="paragraph" w:styleId="ListNumber">
    <w:name w:val="List Number"/>
    <w:basedOn w:val="List"/>
    <w:rsid w:val="00B71F9B"/>
    <w:pPr>
      <w:numPr>
        <w:numId w:val="14"/>
      </w:numPr>
      <w:tabs>
        <w:tab w:val="clear" w:pos="340"/>
      </w:tabs>
    </w:pPr>
  </w:style>
  <w:style w:type="character" w:customStyle="1" w:styleId="WingdingSymbols">
    <w:name w:val="Wingding Symbols"/>
    <w:rsid w:val="00B71F9B"/>
    <w:rPr>
      <w:rFonts w:ascii="Wingdings" w:hAnsi="Wingdings"/>
    </w:rPr>
  </w:style>
  <w:style w:type="paragraph" w:customStyle="1" w:styleId="TableHeading">
    <w:name w:val="Table Heading"/>
    <w:basedOn w:val="HeadingBase"/>
    <w:rsid w:val="00B71F9B"/>
    <w:pPr>
      <w:keepLines/>
      <w:pBdr>
        <w:bottom w:val="single" w:sz="6" w:space="1" w:color="918585"/>
      </w:pBdr>
      <w:spacing w:before="240"/>
    </w:pPr>
  </w:style>
  <w:style w:type="character" w:customStyle="1" w:styleId="HotSpot">
    <w:name w:val="HotSpot"/>
    <w:rsid w:val="00B71F9B"/>
    <w:rPr>
      <w:color w:val="0033CC"/>
      <w:u w:val="none"/>
    </w:rPr>
  </w:style>
  <w:style w:type="paragraph" w:customStyle="1" w:styleId="BodyTextRight">
    <w:name w:val="Body Text Right"/>
    <w:basedOn w:val="BodyText"/>
    <w:rsid w:val="00B71F9B"/>
    <w:pPr>
      <w:spacing w:before="0" w:after="0"/>
      <w:jc w:val="right"/>
    </w:pPr>
  </w:style>
  <w:style w:type="paragraph" w:styleId="Index3">
    <w:name w:val="index 3"/>
    <w:basedOn w:val="ListNumber2"/>
    <w:next w:val="Normal"/>
    <w:semiHidden/>
    <w:rsid w:val="00B71F9B"/>
    <w:pPr>
      <w:numPr>
        <w:numId w:val="0"/>
      </w:numPr>
      <w:tabs>
        <w:tab w:val="right" w:leader="dot" w:pos="4176"/>
      </w:tabs>
    </w:pPr>
  </w:style>
  <w:style w:type="paragraph" w:styleId="ListNumber2">
    <w:name w:val="List Number 2"/>
    <w:basedOn w:val="List2"/>
    <w:rsid w:val="00B71F9B"/>
    <w:pPr>
      <w:numPr>
        <w:numId w:val="9"/>
      </w:numPr>
      <w:tabs>
        <w:tab w:val="clear" w:pos="1060"/>
      </w:tabs>
    </w:pPr>
  </w:style>
  <w:style w:type="paragraph" w:customStyle="1" w:styleId="MarginNote">
    <w:name w:val="Margin Note"/>
    <w:basedOn w:val="BodyText"/>
    <w:rsid w:val="00B71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F9B"/>
    <w:rPr>
      <w:sz w:val="32"/>
    </w:rPr>
  </w:style>
  <w:style w:type="paragraph" w:customStyle="1" w:styleId="HeadingProcedure">
    <w:name w:val="Heading Procedure"/>
    <w:basedOn w:val="HeadingBase"/>
    <w:next w:val="Normal"/>
    <w:rsid w:val="00B71F9B"/>
    <w:pPr>
      <w:tabs>
        <w:tab w:val="left" w:pos="0"/>
      </w:tabs>
      <w:spacing w:before="120" w:after="60"/>
    </w:pPr>
    <w:rPr>
      <w:i/>
      <w:color w:val="918585"/>
      <w:sz w:val="22"/>
    </w:rPr>
  </w:style>
  <w:style w:type="paragraph" w:customStyle="1" w:styleId="TableBodyText">
    <w:name w:val="Table Body Text"/>
    <w:basedOn w:val="BodyText"/>
    <w:rsid w:val="00B71F9B"/>
    <w:pPr>
      <w:spacing w:before="60" w:after="60"/>
    </w:pPr>
  </w:style>
  <w:style w:type="paragraph" w:styleId="ListContinue">
    <w:name w:val="List Continue"/>
    <w:basedOn w:val="List"/>
    <w:rsid w:val="00B71F9B"/>
    <w:pPr>
      <w:ind w:firstLine="0"/>
    </w:pPr>
  </w:style>
  <w:style w:type="paragraph" w:customStyle="1" w:styleId="ListNote">
    <w:name w:val="List Note"/>
    <w:basedOn w:val="List"/>
    <w:rsid w:val="00B71F9B"/>
    <w:pPr>
      <w:pBdr>
        <w:top w:val="single" w:sz="6" w:space="2" w:color="918585"/>
        <w:bottom w:val="single" w:sz="6" w:space="2" w:color="918585"/>
      </w:pBdr>
      <w:tabs>
        <w:tab w:val="left" w:pos="1021"/>
      </w:tabs>
      <w:ind w:firstLine="0"/>
    </w:pPr>
  </w:style>
  <w:style w:type="paragraph" w:customStyle="1" w:styleId="Warning">
    <w:name w:val="Warning"/>
    <w:basedOn w:val="BodyText"/>
    <w:rsid w:val="00B71F9B"/>
    <w:pPr>
      <w:shd w:val="clear" w:color="auto" w:fill="D9D9D9"/>
      <w:tabs>
        <w:tab w:val="left" w:pos="992"/>
      </w:tabs>
      <w:ind w:left="119" w:right="119"/>
    </w:pPr>
    <w:rPr>
      <w:sz w:val="20"/>
    </w:rPr>
  </w:style>
  <w:style w:type="paragraph" w:customStyle="1" w:styleId="MarginIcons">
    <w:name w:val="Margin Icons"/>
    <w:basedOn w:val="BodyText"/>
    <w:rsid w:val="00B71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F9B"/>
    <w:rPr>
      <w:rFonts w:ascii="Courier New" w:hAnsi="Courier New"/>
    </w:rPr>
  </w:style>
  <w:style w:type="paragraph" w:customStyle="1" w:styleId="NoteBullet">
    <w:name w:val="Note Bullet"/>
    <w:basedOn w:val="Note"/>
    <w:rsid w:val="00B71F9B"/>
    <w:pPr>
      <w:tabs>
        <w:tab w:val="clear" w:pos="680"/>
      </w:tabs>
      <w:spacing w:before="60" w:after="60"/>
    </w:pPr>
  </w:style>
  <w:style w:type="paragraph" w:customStyle="1" w:styleId="SubHeading2">
    <w:name w:val="SubHeading2"/>
    <w:basedOn w:val="HeadingBase"/>
    <w:rsid w:val="00B71F9B"/>
    <w:pPr>
      <w:spacing w:before="240" w:after="60"/>
    </w:pPr>
    <w:rPr>
      <w:sz w:val="20"/>
    </w:rPr>
  </w:style>
  <w:style w:type="paragraph" w:customStyle="1" w:styleId="SubHeading1">
    <w:name w:val="SubHeading1"/>
    <w:basedOn w:val="HeadingBase"/>
    <w:rsid w:val="00B71F9B"/>
    <w:pPr>
      <w:spacing w:before="240" w:after="60"/>
    </w:pPr>
    <w:rPr>
      <w:color w:val="918585"/>
      <w:sz w:val="22"/>
    </w:rPr>
  </w:style>
  <w:style w:type="paragraph" w:customStyle="1" w:styleId="SideHeading">
    <w:name w:val="Side Heading"/>
    <w:basedOn w:val="HeadingBase"/>
    <w:rsid w:val="00B71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F9B"/>
    <w:pPr>
      <w:numPr>
        <w:numId w:val="10"/>
      </w:numPr>
    </w:pPr>
  </w:style>
  <w:style w:type="paragraph" w:styleId="PlainText">
    <w:name w:val="Plain Text"/>
    <w:basedOn w:val="Normal"/>
    <w:link w:val="PlainTextChar"/>
    <w:rsid w:val="00B71F9B"/>
    <w:rPr>
      <w:sz w:val="20"/>
    </w:rPr>
  </w:style>
  <w:style w:type="character" w:customStyle="1" w:styleId="PlainTextChar">
    <w:name w:val="Plain Text Char"/>
    <w:basedOn w:val="DefaultParagraphFont"/>
    <w:link w:val="PlainText"/>
    <w:rsid w:val="00B71F9B"/>
    <w:rPr>
      <w:rFonts w:ascii="Courier New" w:eastAsia="Times New Roman" w:hAnsi="Courier New" w:cs="Times New Roman"/>
      <w:sz w:val="20"/>
      <w:szCs w:val="20"/>
      <w:lang w:eastAsia="en-US"/>
    </w:rPr>
  </w:style>
  <w:style w:type="character" w:customStyle="1" w:styleId="MenuOption">
    <w:name w:val="Menu Option"/>
    <w:basedOn w:val="DefaultParagraphFont"/>
    <w:rsid w:val="00B71F9B"/>
    <w:rPr>
      <w:b/>
      <w:smallCaps/>
    </w:rPr>
  </w:style>
  <w:style w:type="paragraph" w:customStyle="1" w:styleId="TableListNumber">
    <w:name w:val="Table List Number"/>
    <w:basedOn w:val="ListNumber"/>
    <w:rsid w:val="00B71F9B"/>
    <w:pPr>
      <w:numPr>
        <w:numId w:val="0"/>
      </w:numPr>
    </w:pPr>
  </w:style>
  <w:style w:type="paragraph" w:styleId="TOC4">
    <w:name w:val="toc 4"/>
    <w:basedOn w:val="TOCBase"/>
    <w:next w:val="Normal"/>
    <w:semiHidden/>
    <w:rsid w:val="00B71F9B"/>
    <w:pPr>
      <w:tabs>
        <w:tab w:val="right" w:leader="dot" w:pos="9071"/>
      </w:tabs>
      <w:ind w:left="1701"/>
    </w:pPr>
  </w:style>
  <w:style w:type="paragraph" w:customStyle="1" w:styleId="ListAlpha">
    <w:name w:val="List Alpha"/>
    <w:basedOn w:val="List"/>
    <w:rsid w:val="00B71F9B"/>
    <w:pPr>
      <w:numPr>
        <w:numId w:val="8"/>
      </w:numPr>
    </w:pPr>
  </w:style>
  <w:style w:type="paragraph" w:customStyle="1" w:styleId="ListAlpha2">
    <w:name w:val="List Alpha 2"/>
    <w:basedOn w:val="List2"/>
    <w:rsid w:val="00B71F9B"/>
    <w:pPr>
      <w:numPr>
        <w:numId w:val="7"/>
      </w:numPr>
    </w:pPr>
  </w:style>
  <w:style w:type="paragraph" w:styleId="List2">
    <w:name w:val="List 2"/>
    <w:basedOn w:val="BodyText"/>
    <w:rsid w:val="00B71F9B"/>
    <w:pPr>
      <w:tabs>
        <w:tab w:val="left" w:pos="680"/>
      </w:tabs>
      <w:spacing w:before="60" w:after="60"/>
      <w:ind w:left="680" w:hanging="340"/>
    </w:pPr>
  </w:style>
  <w:style w:type="paragraph" w:styleId="List3">
    <w:name w:val="List 3"/>
    <w:basedOn w:val="BodyText"/>
    <w:rsid w:val="00B71F9B"/>
    <w:pPr>
      <w:tabs>
        <w:tab w:val="left" w:pos="1021"/>
      </w:tabs>
      <w:spacing w:before="60" w:after="60"/>
      <w:ind w:left="1020" w:hanging="340"/>
    </w:pPr>
  </w:style>
  <w:style w:type="paragraph" w:styleId="List4">
    <w:name w:val="List 4"/>
    <w:basedOn w:val="BodyText"/>
    <w:rsid w:val="00B71F9B"/>
    <w:pPr>
      <w:tabs>
        <w:tab w:val="left" w:pos="1361"/>
      </w:tabs>
      <w:spacing w:before="60" w:after="60"/>
      <w:ind w:left="1361" w:hanging="340"/>
    </w:pPr>
  </w:style>
  <w:style w:type="paragraph" w:styleId="List5">
    <w:name w:val="List 5"/>
    <w:basedOn w:val="BodyText"/>
    <w:rsid w:val="00B71F9B"/>
    <w:pPr>
      <w:tabs>
        <w:tab w:val="left" w:pos="1701"/>
      </w:tabs>
      <w:spacing w:before="60" w:after="60"/>
      <w:ind w:left="1701" w:hanging="340"/>
    </w:pPr>
  </w:style>
  <w:style w:type="paragraph" w:styleId="ListBullet3">
    <w:name w:val="List Bullet 3"/>
    <w:basedOn w:val="List3"/>
    <w:rsid w:val="00B71F9B"/>
    <w:pPr>
      <w:numPr>
        <w:numId w:val="13"/>
      </w:numPr>
      <w:tabs>
        <w:tab w:val="clear" w:pos="1021"/>
      </w:tabs>
      <w:ind w:left="1037" w:hanging="357"/>
    </w:pPr>
  </w:style>
  <w:style w:type="paragraph" w:styleId="ListBullet4">
    <w:name w:val="List Bullet 4"/>
    <w:basedOn w:val="List4"/>
    <w:rsid w:val="00B71F9B"/>
    <w:pPr>
      <w:numPr>
        <w:numId w:val="2"/>
      </w:numPr>
      <w:tabs>
        <w:tab w:val="clear" w:pos="1361"/>
      </w:tabs>
    </w:pPr>
  </w:style>
  <w:style w:type="paragraph" w:styleId="ListBullet5">
    <w:name w:val="List Bullet 5"/>
    <w:basedOn w:val="List5"/>
    <w:rsid w:val="00B71F9B"/>
    <w:pPr>
      <w:numPr>
        <w:numId w:val="3"/>
      </w:numPr>
    </w:pPr>
  </w:style>
  <w:style w:type="paragraph" w:styleId="ListContinue2">
    <w:name w:val="List Continue 2"/>
    <w:basedOn w:val="List2"/>
    <w:rsid w:val="00B71F9B"/>
    <w:pPr>
      <w:ind w:firstLine="0"/>
    </w:pPr>
  </w:style>
  <w:style w:type="paragraph" w:styleId="ListContinue3">
    <w:name w:val="List Continue 3"/>
    <w:basedOn w:val="List3"/>
    <w:rsid w:val="00B71F9B"/>
    <w:pPr>
      <w:ind w:left="1021" w:firstLine="0"/>
    </w:pPr>
  </w:style>
  <w:style w:type="paragraph" w:styleId="ListContinue4">
    <w:name w:val="List Continue 4"/>
    <w:basedOn w:val="List4"/>
    <w:rsid w:val="00B71F9B"/>
    <w:pPr>
      <w:ind w:firstLine="0"/>
    </w:pPr>
  </w:style>
  <w:style w:type="paragraph" w:styleId="ListContinue5">
    <w:name w:val="List Continue 5"/>
    <w:basedOn w:val="List5"/>
    <w:rsid w:val="00B71F9B"/>
    <w:pPr>
      <w:ind w:firstLine="0"/>
    </w:pPr>
  </w:style>
  <w:style w:type="paragraph" w:styleId="ListNumber3">
    <w:name w:val="List Number 3"/>
    <w:basedOn w:val="List3"/>
    <w:rsid w:val="00B71F9B"/>
    <w:pPr>
      <w:numPr>
        <w:numId w:val="4"/>
      </w:numPr>
    </w:pPr>
  </w:style>
  <w:style w:type="paragraph" w:styleId="ListNumber4">
    <w:name w:val="List Number 4"/>
    <w:basedOn w:val="List4"/>
    <w:rsid w:val="00B71F9B"/>
    <w:pPr>
      <w:numPr>
        <w:numId w:val="5"/>
      </w:numPr>
    </w:pPr>
  </w:style>
  <w:style w:type="paragraph" w:styleId="ListNumber5">
    <w:name w:val="List Number 5"/>
    <w:basedOn w:val="List5"/>
    <w:rsid w:val="00B71F9B"/>
    <w:pPr>
      <w:numPr>
        <w:numId w:val="6"/>
      </w:numPr>
    </w:pPr>
  </w:style>
  <w:style w:type="paragraph" w:styleId="BlockText">
    <w:name w:val="Block Text"/>
    <w:basedOn w:val="Normal"/>
    <w:rsid w:val="00B71F9B"/>
    <w:pPr>
      <w:spacing w:after="120"/>
      <w:ind w:left="1440" w:right="1440"/>
    </w:pPr>
  </w:style>
  <w:style w:type="character" w:customStyle="1" w:styleId="Subscript">
    <w:name w:val="Subscript"/>
    <w:basedOn w:val="DefaultParagraphFont"/>
    <w:rsid w:val="00B71F9B"/>
    <w:rPr>
      <w:sz w:val="16"/>
      <w:vertAlign w:val="subscript"/>
    </w:rPr>
  </w:style>
  <w:style w:type="character" w:customStyle="1" w:styleId="Superscript">
    <w:name w:val="Superscript"/>
    <w:basedOn w:val="DefaultParagraphFont"/>
    <w:rsid w:val="00B71F9B"/>
    <w:rPr>
      <w:sz w:val="16"/>
      <w:vertAlign w:val="superscript"/>
    </w:rPr>
  </w:style>
  <w:style w:type="character" w:customStyle="1" w:styleId="Symbols">
    <w:name w:val="Symbols"/>
    <w:basedOn w:val="DefaultParagraphFont"/>
    <w:rsid w:val="00B71F9B"/>
    <w:rPr>
      <w:rFonts w:ascii="Symbol" w:hAnsi="Symbol"/>
    </w:rPr>
  </w:style>
  <w:style w:type="character" w:customStyle="1" w:styleId="MenuOptions">
    <w:name w:val="Menu Options"/>
    <w:basedOn w:val="DefaultParagraphFont"/>
    <w:rsid w:val="00B71F9B"/>
    <w:rPr>
      <w:rFonts w:ascii="Arial Narrow" w:hAnsi="Arial Narrow"/>
      <w:smallCaps/>
    </w:rPr>
  </w:style>
  <w:style w:type="character" w:customStyle="1" w:styleId="Buttons">
    <w:name w:val="Buttons"/>
    <w:basedOn w:val="DefaultParagraphFont"/>
    <w:rsid w:val="00B71F9B"/>
    <w:rPr>
      <w:b/>
    </w:rPr>
  </w:style>
  <w:style w:type="character" w:customStyle="1" w:styleId="Underlined">
    <w:name w:val="Underlined"/>
    <w:basedOn w:val="DefaultParagraphFont"/>
    <w:rsid w:val="00B71F9B"/>
    <w:rPr>
      <w:u w:val="single"/>
    </w:rPr>
  </w:style>
  <w:style w:type="paragraph" w:customStyle="1" w:styleId="TableBodyTextRight">
    <w:name w:val="Table Body Text Right"/>
    <w:basedOn w:val="TableBodyText"/>
    <w:rsid w:val="00B71F9B"/>
    <w:pPr>
      <w:widowControl w:val="0"/>
      <w:autoSpaceDE w:val="0"/>
      <w:autoSpaceDN w:val="0"/>
      <w:adjustRightInd w:val="0"/>
      <w:jc w:val="right"/>
    </w:pPr>
    <w:rPr>
      <w:rFonts w:cs="Arial"/>
      <w:szCs w:val="18"/>
    </w:rPr>
  </w:style>
  <w:style w:type="paragraph" w:customStyle="1" w:styleId="CopyrightText">
    <w:name w:val="Copyright Text"/>
    <w:basedOn w:val="BodyText"/>
    <w:rsid w:val="00B71F9B"/>
    <w:rPr>
      <w:sz w:val="18"/>
    </w:rPr>
  </w:style>
  <w:style w:type="paragraph" w:customStyle="1" w:styleId="BodySmallRight">
    <w:name w:val="Body Small Right"/>
    <w:basedOn w:val="BodyTextRight"/>
    <w:rsid w:val="00B71F9B"/>
    <w:rPr>
      <w:sz w:val="18"/>
      <w:szCs w:val="18"/>
    </w:rPr>
  </w:style>
  <w:style w:type="paragraph" w:customStyle="1" w:styleId="MarginEdition">
    <w:name w:val="Margin Edition"/>
    <w:basedOn w:val="MarginNote"/>
    <w:rsid w:val="00B71F9B"/>
    <w:pPr>
      <w:spacing w:before="0" w:after="0"/>
    </w:pPr>
    <w:rPr>
      <w:rFonts w:ascii="Times New Roman" w:hAnsi="Times New Roman"/>
      <w:color w:val="999999"/>
    </w:rPr>
  </w:style>
  <w:style w:type="paragraph" w:customStyle="1" w:styleId="Spacer">
    <w:name w:val="Spacer"/>
    <w:basedOn w:val="Normal"/>
    <w:rsid w:val="00B71F9B"/>
    <w:rPr>
      <w:sz w:val="2"/>
      <w:szCs w:val="2"/>
    </w:rPr>
  </w:style>
  <w:style w:type="character" w:customStyle="1" w:styleId="Small">
    <w:name w:val="Small"/>
    <w:basedOn w:val="DefaultParagraphFont"/>
    <w:rsid w:val="00B71F9B"/>
    <w:rPr>
      <w:sz w:val="16"/>
    </w:rPr>
  </w:style>
  <w:style w:type="paragraph" w:customStyle="1" w:styleId="WideTable">
    <w:name w:val="Wide Table"/>
    <w:basedOn w:val="Normal"/>
    <w:rsid w:val="00B71F9B"/>
    <w:pPr>
      <w:ind w:left="-1418"/>
    </w:pPr>
    <w:rPr>
      <w:sz w:val="2"/>
      <w:szCs w:val="2"/>
    </w:rPr>
  </w:style>
  <w:style w:type="character" w:styleId="PageNumber">
    <w:name w:val="page number"/>
    <w:basedOn w:val="DefaultParagraphFont"/>
    <w:rsid w:val="00B71F9B"/>
  </w:style>
  <w:style w:type="paragraph" w:styleId="Quote">
    <w:name w:val="Quote"/>
    <w:basedOn w:val="Heading1"/>
    <w:link w:val="QuoteChar"/>
    <w:qFormat/>
    <w:rsid w:val="00B71F9B"/>
    <w:rPr>
      <w:b w:val="0"/>
      <w:sz w:val="72"/>
      <w:szCs w:val="72"/>
      <w:lang w:val="en-NZ"/>
    </w:rPr>
  </w:style>
  <w:style w:type="character" w:customStyle="1" w:styleId="QuoteChar">
    <w:name w:val="Quote Char"/>
    <w:basedOn w:val="DefaultParagraphFont"/>
    <w:link w:val="Quote"/>
    <w:rsid w:val="00B71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F9B"/>
    <w:pPr>
      <w:pageBreakBefore/>
    </w:pPr>
  </w:style>
  <w:style w:type="paragraph" w:customStyle="1" w:styleId="Border">
    <w:name w:val="Border"/>
    <w:basedOn w:val="Normal"/>
    <w:qFormat/>
    <w:rsid w:val="00B71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F9B"/>
    <w:rPr>
      <w:b/>
      <w:bCs/>
      <w:i/>
      <w:iCs/>
      <w:color w:val="auto"/>
    </w:rPr>
  </w:style>
  <w:style w:type="paragraph" w:styleId="IntenseQuote">
    <w:name w:val="Intense Quote"/>
    <w:basedOn w:val="Normal"/>
    <w:next w:val="Normal"/>
    <w:link w:val="IntenseQuoteChar"/>
    <w:uiPriority w:val="30"/>
    <w:qFormat/>
    <w:rsid w:val="00B71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F9B"/>
    <w:rPr>
      <w:smallCaps/>
      <w:color w:val="auto"/>
      <w:u w:val="single"/>
    </w:rPr>
  </w:style>
  <w:style w:type="character" w:styleId="IntenseReference">
    <w:name w:val="Intense Reference"/>
    <w:basedOn w:val="DefaultParagraphFont"/>
    <w:uiPriority w:val="32"/>
    <w:qFormat/>
    <w:rsid w:val="00B71F9B"/>
    <w:rPr>
      <w:b/>
      <w:bCs/>
      <w:smallCaps/>
      <w:color w:val="auto"/>
      <w:spacing w:val="5"/>
      <w:u w:val="single"/>
    </w:rPr>
  </w:style>
  <w:style w:type="paragraph" w:customStyle="1" w:styleId="2ColumnHeading">
    <w:name w:val="2Column Heading"/>
    <w:basedOn w:val="BodyText"/>
    <w:qFormat/>
    <w:rsid w:val="00B71F9B"/>
    <w:pPr>
      <w:spacing w:after="60"/>
      <w:ind w:left="-2268"/>
    </w:pPr>
    <w:rPr>
      <w:b/>
    </w:rPr>
  </w:style>
  <w:style w:type="paragraph" w:customStyle="1" w:styleId="Heading1TOC">
    <w:name w:val="Heading1 TOC"/>
    <w:basedOn w:val="Normal"/>
    <w:qFormat/>
    <w:rsid w:val="00B71F9B"/>
    <w:pPr>
      <w:spacing w:before="240" w:after="120"/>
    </w:pPr>
    <w:rPr>
      <w:rFonts w:ascii="Times New Roman" w:hAnsi="Times New Roman"/>
      <w:b/>
      <w:sz w:val="32"/>
    </w:rPr>
  </w:style>
  <w:style w:type="paragraph" w:customStyle="1" w:styleId="Heading2TOC">
    <w:name w:val="Heading2 TOC"/>
    <w:basedOn w:val="Normal"/>
    <w:qFormat/>
    <w:rsid w:val="00B71F9B"/>
    <w:pPr>
      <w:spacing w:before="240" w:after="60"/>
    </w:pPr>
    <w:rPr>
      <w:rFonts w:ascii="Times New Roman" w:hAnsi="Times New Roman"/>
      <w:b/>
      <w:sz w:val="28"/>
    </w:rPr>
  </w:style>
  <w:style w:type="character" w:customStyle="1" w:styleId="Underline">
    <w:name w:val="Underline"/>
    <w:basedOn w:val="DefaultParagraphFont"/>
    <w:qFormat/>
    <w:rsid w:val="00B71F9B"/>
    <w:rPr>
      <w:u w:val="single"/>
    </w:rPr>
  </w:style>
  <w:style w:type="character" w:customStyle="1" w:styleId="BoldandItalics">
    <w:name w:val="Bold and Italics"/>
    <w:qFormat/>
    <w:rsid w:val="00B71F9B"/>
    <w:rPr>
      <w:b/>
      <w:i/>
      <w:u w:val="none"/>
    </w:rPr>
  </w:style>
  <w:style w:type="paragraph" w:styleId="BalloonText">
    <w:name w:val="Balloon Text"/>
    <w:basedOn w:val="Normal"/>
    <w:link w:val="BalloonTextChar"/>
    <w:rsid w:val="00B71F9B"/>
    <w:rPr>
      <w:rFonts w:ascii="Tahoma" w:hAnsi="Tahoma" w:cs="Tahoma"/>
      <w:sz w:val="16"/>
      <w:szCs w:val="16"/>
    </w:rPr>
  </w:style>
  <w:style w:type="character" w:customStyle="1" w:styleId="BalloonTextChar">
    <w:name w:val="Balloon Text Char"/>
    <w:basedOn w:val="DefaultParagraphFont"/>
    <w:link w:val="BalloonText"/>
    <w:rsid w:val="00B71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F9B"/>
    <w:rPr>
      <w:b/>
      <w:color w:val="660033"/>
      <w:spacing w:val="0"/>
    </w:rPr>
  </w:style>
  <w:style w:type="paragraph" w:customStyle="1" w:styleId="Nameditemlist">
    <w:name w:val="Named item list"/>
    <w:basedOn w:val="BodyText"/>
    <w:qFormat/>
    <w:rsid w:val="00B71F9B"/>
    <w:pPr>
      <w:tabs>
        <w:tab w:val="left" w:pos="2835"/>
      </w:tabs>
      <w:ind w:left="2835" w:hanging="2835"/>
    </w:pPr>
  </w:style>
  <w:style w:type="paragraph" w:customStyle="1" w:styleId="BodyTextnopadding">
    <w:name w:val="Body Text no padding"/>
    <w:basedOn w:val="BodyText"/>
    <w:qFormat/>
    <w:rsid w:val="00B71F9B"/>
    <w:pPr>
      <w:spacing w:before="0" w:after="0"/>
    </w:pPr>
  </w:style>
  <w:style w:type="paragraph" w:customStyle="1" w:styleId="BodyTextBold">
    <w:name w:val="Body Text Bold"/>
    <w:basedOn w:val="BodyText"/>
    <w:qFormat/>
    <w:rsid w:val="00B71F9B"/>
    <w:rPr>
      <w:b/>
    </w:rPr>
  </w:style>
  <w:style w:type="character" w:styleId="Hyperlink">
    <w:name w:val="Hyperlink"/>
    <w:basedOn w:val="DefaultParagraphFont"/>
    <w:uiPriority w:val="99"/>
    <w:unhideWhenUsed/>
    <w:rsid w:val="009143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5760</Characters>
  <Application>Microsoft Office Word</Application>
  <DocSecurity>0</DocSecurity>
  <Lines>192</Lines>
  <Paragraphs>119</Paragraphs>
  <ScaleCrop>false</ScaleCrop>
  <Company>Author-it Software Corporation Ltd.</Company>
  <LinksUpToDate>false</LinksUpToDate>
  <CharactersWithSpaces>6570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ICPCBF391 Use electronic monitoring systems (converting and finishing)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