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91E" w:rsidP="00B3091E">
      <w:pPr>
        <w:pStyle w:val="Title"/>
      </w:pPr>
      <w:r>
        <w:fldChar w:fldCharType="begin"/>
      </w:r>
      <w:r>
        <w:instrText xml:space="preserve"> TITLE   \* MERGEFORMAT </w:instrText>
      </w:r>
      <w:r>
        <w:fldChar w:fldCharType="separate"/>
      </w:r>
      <w:r>
        <w:t>ICPCBF3910 Use electronic monitoring systems (converting and finishing)</w:t>
      </w:r>
      <w:r>
        <w:fldChar w:fldCharType="end"/>
      </w:r>
    </w:p>
    <w:p w:rsidR="00B3091E" w:rsidP="00B3091E">
      <w:pPr>
        <w:pStyle w:val="Version"/>
        <w:sectPr w:rsidSect="000C7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B31" w:rsidP="000C7B31">
      <w:pPr>
        <w:pStyle w:val="SuperHeading"/>
      </w:pPr>
      <w:r w:rsidRPr="000C7B31">
        <w:t>ICPCBF3910 Use electronic monitoring systems (converting and finishing)</w:t>
      </w:r>
    </w:p>
    <w:p w:rsidR="00000000" w:rsidRPr="000C7B31" w:rsidP="000C7B31">
      <w:pPr>
        <w:pStyle w:val="Heading1"/>
      </w:pPr>
      <w:bookmarkStart w:id="1" w:name="O_1072440"/>
      <w:bookmarkEnd w:id="1"/>
      <w:r w:rsidRPr="000C7B31">
        <w:t>Modification History</w:t>
      </w:r>
    </w:p>
    <w:tbl>
      <w:tblPr>
        <w:tblW w:w="0" w:type="auto"/>
        <w:tblLayout w:type="fixed"/>
        <w:tblCellMar>
          <w:left w:w="62" w:type="dxa"/>
          <w:right w:w="62" w:type="dxa"/>
        </w:tblCellMar>
        <w:tblLook w:val="0000"/>
      </w:tblPr>
      <w:tblGrid>
        <w:gridCol w:w="2493"/>
        <w:gridCol w:w="6337"/>
      </w:tblGrid>
      <w:tr w:rsidTr="000C7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rPr>
                <w:rStyle w:val="SpecialBold"/>
              </w:rPr>
              <w:t>Comments</w:t>
            </w:r>
          </w:p>
        </w:tc>
      </w:tr>
      <w:tr w:rsidTr="000C7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t>This version first released with ICP Printing and Graphic Arts Training Package Version 4.0.</w:t>
            </w:r>
          </w:p>
        </w:tc>
      </w:tr>
    </w:tbl>
    <w:p w:rsidR="00000000" w:rsidRPr="000C7B31" w:rsidP="000C7B31">
      <w:pPr>
        <w:pStyle w:val="BodyText"/>
      </w:pPr>
    </w:p>
    <w:p w:rsidR="00000000" w:rsidRPr="000C7B31" w:rsidP="000C7B31">
      <w:pPr>
        <w:pStyle w:val="AllowPageBreak"/>
      </w:pPr>
    </w:p>
    <w:p w:rsidR="00000000" w:rsidRPr="000C7B31" w:rsidP="000C7B31">
      <w:pPr>
        <w:pStyle w:val="Heading1"/>
      </w:pPr>
      <w:bookmarkStart w:id="2" w:name="O_1072445"/>
      <w:bookmarkEnd w:id="2"/>
      <w:r w:rsidRPr="000C7B31">
        <w:t>Application</w:t>
      </w:r>
    </w:p>
    <w:p w:rsidR="00000000" w:rsidRPr="000C7B31" w:rsidP="00B3091E">
      <w:pPr>
        <w:pStyle w:val="BodyText"/>
      </w:pPr>
      <w:r w:rsidRPr="000C7B31">
        <w:t>This unit describes the skills and knowledge required to use electronic monitoring systems  for glue lines used in the container and carton sector of the industry, and for gatherers and folders used in the binding and finishing sector.</w:t>
      </w:r>
    </w:p>
    <w:p w:rsidR="00000000" w:rsidRPr="000C7B31" w:rsidP="00B3091E">
      <w:pPr>
        <w:pStyle w:val="BodyText"/>
      </w:pPr>
      <w:r w:rsidRPr="000C7B31">
        <w:t>It appli</w:t>
      </w:r>
      <w:r w:rsidRPr="000C7B31">
        <w:t>es to individuals who perform a range of defined tasks relating to the printing and graphic arts industry, and who may also provide some leadership and guidance to others with some limited responsibility for the output of others.</w:t>
      </w:r>
    </w:p>
    <w:p w:rsidR="00000000" w:rsidRPr="000C7B31" w:rsidP="00B3091E">
      <w:pPr>
        <w:pStyle w:val="BodyText"/>
      </w:pPr>
      <w:r w:rsidRPr="000C7B31">
        <w:t xml:space="preserve">No licensing, legislative </w:t>
      </w:r>
      <w:r w:rsidRPr="000C7B31">
        <w:t>or certification requirements apply to this unit at the time of publication.</w:t>
      </w:r>
    </w:p>
    <w:p w:rsidR="00000000" w:rsidRPr="000C7B31" w:rsidP="000C7B31">
      <w:pPr>
        <w:pStyle w:val="Heading1"/>
      </w:pPr>
      <w:bookmarkStart w:id="3" w:name="O_1072444"/>
      <w:bookmarkEnd w:id="3"/>
      <w:r w:rsidRPr="000C7B31">
        <w:t>Unit Sector</w:t>
      </w:r>
    </w:p>
    <w:p w:rsidR="00000000" w:rsidRPr="000C7B31" w:rsidP="00B3091E">
      <w:pPr>
        <w:pStyle w:val="BodyText"/>
      </w:pPr>
      <w:r w:rsidRPr="000C7B31">
        <w:t>Converting, Binding and Finishing</w:t>
      </w:r>
    </w:p>
    <w:p w:rsidR="00000000" w:rsidRPr="000C7B31" w:rsidP="000C7B31">
      <w:pPr>
        <w:pStyle w:val="Heading1"/>
      </w:pPr>
      <w:bookmarkStart w:id="4" w:name="O_1072443"/>
      <w:bookmarkEnd w:id="4"/>
      <w:r w:rsidRPr="000C7B31">
        <w:t>Elements and Performance Criteria</w:t>
      </w:r>
    </w:p>
    <w:tbl>
      <w:tblPr>
        <w:tblW w:w="0" w:type="auto"/>
        <w:tblLayout w:type="fixed"/>
        <w:tblCellMar>
          <w:left w:w="62" w:type="dxa"/>
          <w:right w:w="62" w:type="dxa"/>
        </w:tblCellMar>
        <w:tblLook w:val="0000"/>
      </w:tblPr>
      <w:tblGrid>
        <w:gridCol w:w="2583"/>
        <w:gridCol w:w="6591"/>
      </w:tblGrid>
      <w:tr w:rsidTr="000C7B31">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0C7B31" w:rsidP="000C7B31">
            <w:pPr>
              <w:pStyle w:val="BodyText"/>
            </w:pPr>
            <w:r w:rsidRPr="000C7B3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0C7B31">
            <w:pPr>
              <w:pStyle w:val="BodyText"/>
              <w:rPr>
                <w:lang w:val="en-NZ"/>
              </w:rPr>
            </w:pPr>
            <w:r w:rsidRPr="000C7B31">
              <w:rPr>
                <w:rStyle w:val="SpecialBold"/>
              </w:rPr>
              <w:t>PERFORMANCE CRITERIA</w:t>
            </w:r>
          </w:p>
        </w:tc>
      </w:tr>
      <w:tr w:rsidTr="000C7B31">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0C7B31" w:rsidP="000C7B31">
            <w:pPr>
              <w:pStyle w:val="BodyText"/>
            </w:pPr>
            <w:r w:rsidRPr="000C7B3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C7B31">
            <w:pPr>
              <w:pStyle w:val="BodyText"/>
              <w:rPr>
                <w:lang w:val="en-NZ"/>
              </w:rPr>
            </w:pPr>
            <w:r w:rsidRPr="000C7B31">
              <w:rPr>
                <w:rStyle w:val="Emphasis"/>
              </w:rPr>
              <w:t>Performance criteria describe the performance needed to demonstrate achievement of the element.</w:t>
            </w:r>
          </w:p>
        </w:tc>
      </w:tr>
      <w:tr w:rsidTr="000C7B31">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1. Set up electronic monitoring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t xml:space="preserve">1.1 Set parameters according to job specifications and enterprise procedures </w:t>
            </w:r>
          </w:p>
          <w:p w:rsidR="00000000" w:rsidRPr="000C7B31" w:rsidP="000C7B31">
            <w:pPr>
              <w:pStyle w:val="BodyText"/>
            </w:pPr>
            <w:r w:rsidRPr="000C7B31">
              <w:t xml:space="preserve">1.2 Position monitoring system </w:t>
            </w:r>
          </w:p>
          <w:p w:rsidR="00000000" w:rsidRPr="000C7B31" w:rsidP="000C7B31">
            <w:pPr>
              <w:pStyle w:val="BodyText"/>
            </w:pPr>
            <w:r w:rsidRPr="000C7B31">
              <w:t xml:space="preserve">1.3 Position ejection system </w:t>
            </w:r>
          </w:p>
          <w:p w:rsidR="00000000" w:rsidP="000C7B31">
            <w:pPr>
              <w:pStyle w:val="BodyText"/>
              <w:rPr>
                <w:lang w:val="en-NZ"/>
              </w:rPr>
            </w:pPr>
            <w:r w:rsidRPr="000C7B31">
              <w:t xml:space="preserve">1.4 Position marking system </w:t>
            </w:r>
          </w:p>
        </w:tc>
      </w:tr>
      <w:tr w:rsidTr="000C7B31">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2. Run job and monitor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t xml:space="preserve">2.1 Monitor and adjust glue line registration and glue application according to job specifications </w:t>
            </w:r>
          </w:p>
          <w:p w:rsidR="00000000" w:rsidRPr="000C7B31" w:rsidP="000C7B31">
            <w:pPr>
              <w:pStyle w:val="BodyText"/>
            </w:pPr>
            <w:r w:rsidRPr="000C7B31">
              <w:t>2.2 Identify and rectify stoppages</w:t>
            </w:r>
          </w:p>
          <w:p w:rsidR="00000000" w:rsidP="000C7B31">
            <w:pPr>
              <w:pStyle w:val="BodyText"/>
              <w:rPr>
                <w:lang w:val="en-NZ"/>
              </w:rPr>
            </w:pPr>
            <w:r w:rsidRPr="000C7B31">
              <w:t xml:space="preserve">2.3 Monitor and review initial set-up parameters </w:t>
            </w:r>
          </w:p>
        </w:tc>
      </w:tr>
      <w:tr w:rsidTr="000C7B31">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3. Review production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t xml:space="preserve">3.1 Monitor production rejects and identify causes </w:t>
            </w:r>
          </w:p>
          <w:p w:rsidR="00000000" w:rsidRPr="000C7B31" w:rsidP="000C7B31">
            <w:pPr>
              <w:pStyle w:val="BodyText"/>
            </w:pPr>
            <w:r w:rsidRPr="000C7B31">
              <w:t xml:space="preserve">3.2 Evaluate data at the end of the product run </w:t>
            </w:r>
          </w:p>
          <w:p w:rsidR="00000000" w:rsidRPr="000C7B31" w:rsidP="000C7B31">
            <w:pPr>
              <w:pStyle w:val="BodyText"/>
            </w:pPr>
            <w:r w:rsidRPr="000C7B31">
              <w:t>3.3 Complete required production records an</w:t>
            </w:r>
            <w:r w:rsidRPr="000C7B31">
              <w:t>d enterprise documentation</w:t>
            </w:r>
          </w:p>
        </w:tc>
      </w:tr>
    </w:tbl>
    <w:p w:rsidR="00000000" w:rsidRPr="000C7B31" w:rsidP="000C7B31">
      <w:pPr>
        <w:pStyle w:val="BodyText"/>
      </w:pPr>
    </w:p>
    <w:p w:rsidR="00000000" w:rsidRPr="000C7B31" w:rsidP="000C7B31">
      <w:pPr>
        <w:pStyle w:val="AllowPageBreak"/>
      </w:pPr>
    </w:p>
    <w:p w:rsidR="00000000" w:rsidRPr="000C7B31" w:rsidP="000C7B31">
      <w:pPr>
        <w:pStyle w:val="Heading1"/>
      </w:pPr>
      <w:bookmarkStart w:id="5" w:name="O_1072442"/>
      <w:bookmarkEnd w:id="5"/>
      <w:r w:rsidRPr="000C7B31">
        <w:t>Foundation Skills</w:t>
      </w:r>
    </w:p>
    <w:p w:rsidR="00000000" w:rsidRPr="00B3091E" w:rsidP="00B3091E">
      <w:pPr>
        <w:pStyle w:val="BodyText"/>
        <w:rPr>
          <w:i/>
        </w:rPr>
      </w:pPr>
      <w:r w:rsidRPr="00B3091E">
        <w:rPr>
          <w:rStyle w:val="Emphasis"/>
        </w:rPr>
        <w:t>This section describes those language, literacy, numeracy and employment skills that are essential to performance but not explicit in the performance criteria.</w:t>
      </w:r>
    </w:p>
    <w:tbl>
      <w:tblPr>
        <w:tblW w:w="9399" w:type="dxa"/>
        <w:tblLayout w:type="fixed"/>
        <w:tblCellMar>
          <w:left w:w="62" w:type="dxa"/>
          <w:right w:w="62" w:type="dxa"/>
        </w:tblCellMar>
        <w:tblLook w:val="0000"/>
      </w:tblPr>
      <w:tblGrid>
        <w:gridCol w:w="2160"/>
        <w:gridCol w:w="7239"/>
      </w:tblGrid>
      <w:tr w:rsidTr="000C7B31">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rPr>
                <w:rStyle w:val="SpecialBold"/>
              </w:rPr>
              <w:t>Skill</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rPr>
                <w:rStyle w:val="SpecialBold"/>
              </w:rPr>
              <w:t>Description</w:t>
            </w:r>
          </w:p>
        </w:tc>
      </w:tr>
      <w:tr w:rsidTr="000C7B31">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Reading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ListBullet"/>
              <w:rPr>
                <w:lang w:val="en-NZ"/>
              </w:rPr>
            </w:pPr>
            <w:r w:rsidRPr="000C7B31">
              <w:t>Identifies and interprets text to establish job requirements from information contained within relevant procedures and specifications</w:t>
            </w:r>
          </w:p>
        </w:tc>
      </w:tr>
      <w:tr w:rsidTr="000C7B31">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Writing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ListBullet"/>
              <w:rPr>
                <w:lang w:val="en-NZ"/>
              </w:rPr>
            </w:pPr>
            <w:r w:rsidRPr="000C7B31">
              <w:t xml:space="preserve">Enters routine data associated with production processes according to organisational requirements </w:t>
            </w:r>
          </w:p>
        </w:tc>
      </w:tr>
      <w:tr w:rsidTr="000C7B31">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Self-managem</w:t>
            </w:r>
            <w:r w:rsidRPr="000C7B31">
              <w:t>ent</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ListBullet"/>
              <w:rPr>
                <w:lang w:val="en-NZ"/>
              </w:rPr>
            </w:pPr>
            <w:r w:rsidRPr="000C7B31">
              <w:t>Identifies and follows all enterprise procedures for operation of equipment</w:t>
            </w:r>
          </w:p>
        </w:tc>
      </w:tr>
      <w:tr w:rsidTr="000C7B31">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 xml:space="preserve">Planning and organising </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ListBullet"/>
              <w:rPr>
                <w:lang w:val="en-NZ"/>
              </w:rPr>
            </w:pPr>
            <w:r w:rsidRPr="000C7B31">
              <w:t>Determines priorities and sequences steps involved in clearly defined, familiar tasks</w:t>
            </w:r>
          </w:p>
        </w:tc>
      </w:tr>
      <w:tr w:rsidTr="000C7B31">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 xml:space="preserve">Problem solving </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ListBullet"/>
              <w:rPr>
                <w:lang w:val="en-NZ"/>
              </w:rPr>
            </w:pPr>
            <w:r w:rsidRPr="000C7B31">
              <w:t>Applies analytical processes to identify ca</w:t>
            </w:r>
            <w:r w:rsidRPr="000C7B31">
              <w:t xml:space="preserve">uses of production problems  </w:t>
            </w:r>
          </w:p>
        </w:tc>
      </w:tr>
      <w:tr w:rsidTr="000C7B31">
        <w:tblPrEx>
          <w:tblW w:w="9399" w:type="dxa"/>
          <w:tblLayout w:type="fixed"/>
          <w:tblCellMar>
            <w:left w:w="62" w:type="dxa"/>
            <w:right w:w="62" w:type="dxa"/>
          </w:tblCellMar>
          <w:tblLook w:val="0000"/>
        </w:tblPrEx>
        <w:trPr>
          <w:trHeight w:val="577"/>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Technology</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ListBullet"/>
            </w:pPr>
            <w:r w:rsidRPr="000C7B31">
              <w:t>Follows routine procedures for using digital technology by reading data from electronic monitoring and control systems</w:t>
            </w:r>
          </w:p>
        </w:tc>
      </w:tr>
    </w:tbl>
    <w:p w:rsidR="00B3091E" w:rsidP="000C7B31">
      <w:pPr>
        <w:pStyle w:val="BodyText"/>
      </w:pPr>
    </w:p>
    <w:p w:rsidR="00B3091E" w:rsidP="000C7B31">
      <w:pPr>
        <w:pStyle w:val="BodyText"/>
      </w:pPr>
    </w:p>
    <w:p w:rsidR="00000000" w:rsidRPr="000C7B31" w:rsidP="000C7B31">
      <w:pPr>
        <w:pStyle w:val="Heading1"/>
      </w:pPr>
      <w:bookmarkStart w:id="6" w:name="O_1072441"/>
      <w:bookmarkEnd w:id="6"/>
      <w:r w:rsidRPr="000C7B31">
        <w:t>Unit Mapping Information</w:t>
      </w:r>
    </w:p>
    <w:p w:rsidR="00000000" w:rsidRPr="000C7B31" w:rsidP="00B3091E">
      <w:pPr>
        <w:pStyle w:val="BodyText"/>
      </w:pPr>
      <w:r w:rsidRPr="000C7B31">
        <w:t>Supersedes and is equivalent to ICPCBF391 Use electronic monitoring systems (converting and finishing).</w:t>
      </w:r>
    </w:p>
    <w:p w:rsidR="00000000" w:rsidRPr="000C7B31" w:rsidP="000C7B31">
      <w:pPr>
        <w:pStyle w:val="Heading1"/>
      </w:pPr>
      <w:bookmarkStart w:id="7" w:name="O_1072434"/>
      <w:bookmarkEnd w:id="7"/>
      <w:r w:rsidRPr="000C7B31">
        <w:t>Links</w:t>
      </w:r>
    </w:p>
    <w:p w:rsidR="00000000" w:rsidRPr="000C7B31" w:rsidP="00B3091E">
      <w:pPr>
        <w:pStyle w:val="BodyText"/>
      </w:pPr>
      <w:r w:rsidRPr="000C7B3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77959">
        <w:rPr>
          <w:rStyle w:val="Hyperlink"/>
        </w:rPr>
        <w:t>https://vetnet.gov.au/Pages/TrainingDocs.aspx?q=a74b7a0f-a253-47e3-8be0-5d426e24131d</w:t>
      </w:r>
      <w:r>
        <w:fldChar w:fldCharType="end"/>
      </w:r>
    </w:p>
    <w:p w:rsidR="00000000" w:rsidRPr="000C7B31" w:rsidP="00B3091E">
      <w:pPr>
        <w:pStyle w:val="BodyText"/>
        <w:sectPr w:rsidSect="000C7B31">
          <w:headerReference w:type="default" r:id="rId10"/>
          <w:footerReference w:type="default" r:id="rId11"/>
          <w:pgSz w:w="11908" w:h="16833"/>
          <w:pgMar w:top="1702" w:right="1418" w:bottom="1702" w:left="1418" w:header="992" w:footer="992" w:gutter="0"/>
          <w:cols w:space="720"/>
          <w:noEndnote/>
          <w:docGrid w:linePitch="299"/>
        </w:sectPr>
      </w:pPr>
    </w:p>
    <w:p w:rsidR="00000000" w:rsidRPr="000C7B31" w:rsidP="000C7B31">
      <w:pPr>
        <w:pStyle w:val="SuperHeading"/>
      </w:pPr>
      <w:r w:rsidRPr="000C7B31">
        <w:t>Assessment Requirements for ICPCBF3910 Use electronic monitoring systems (converting and finishing)</w:t>
      </w:r>
    </w:p>
    <w:p w:rsidR="00000000" w:rsidRPr="000C7B31" w:rsidP="000C7B31">
      <w:pPr>
        <w:pStyle w:val="Heading1"/>
      </w:pPr>
      <w:bookmarkStart w:id="8" w:name="O_1072436"/>
      <w:bookmarkEnd w:id="8"/>
      <w:r w:rsidRPr="000C7B31">
        <w:t>Modification History</w:t>
      </w:r>
    </w:p>
    <w:tbl>
      <w:tblPr>
        <w:tblW w:w="0" w:type="auto"/>
        <w:tblLayout w:type="fixed"/>
        <w:tblCellMar>
          <w:left w:w="62" w:type="dxa"/>
          <w:right w:w="62" w:type="dxa"/>
        </w:tblCellMar>
        <w:tblLook w:val="0000"/>
      </w:tblPr>
      <w:tblGrid>
        <w:gridCol w:w="2493"/>
        <w:gridCol w:w="6337"/>
      </w:tblGrid>
      <w:tr w:rsidTr="000C7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rPr>
                <w:rStyle w:val="SpecialBold"/>
              </w:rPr>
              <w:t>Comments</w:t>
            </w:r>
          </w:p>
        </w:tc>
      </w:tr>
      <w:tr w:rsidTr="000C7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B31">
            <w:pPr>
              <w:pStyle w:val="BodyText"/>
              <w:rPr>
                <w:lang w:val="en-NZ"/>
              </w:rPr>
            </w:pPr>
            <w:r w:rsidRPr="000C7B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B31" w:rsidP="000C7B31">
            <w:pPr>
              <w:pStyle w:val="BodyText"/>
            </w:pPr>
            <w:r w:rsidRPr="000C7B31">
              <w:t>This version first releas</w:t>
            </w:r>
            <w:r w:rsidRPr="000C7B31">
              <w:t>ed with ICP Printing and Graphic Arts Training Package Version 4.0.</w:t>
            </w:r>
          </w:p>
        </w:tc>
      </w:tr>
    </w:tbl>
    <w:p w:rsidR="00000000" w:rsidRPr="000C7B31" w:rsidP="000C7B31">
      <w:pPr>
        <w:pStyle w:val="BodyText"/>
      </w:pPr>
    </w:p>
    <w:p w:rsidR="00000000" w:rsidRPr="000C7B31" w:rsidP="000C7B31">
      <w:pPr>
        <w:pStyle w:val="AllowPageBreak"/>
      </w:pPr>
    </w:p>
    <w:p w:rsidR="00000000" w:rsidRPr="000C7B31" w:rsidP="000C7B31">
      <w:pPr>
        <w:pStyle w:val="Heading1"/>
      </w:pPr>
      <w:bookmarkStart w:id="9" w:name="O_1072439"/>
      <w:bookmarkEnd w:id="9"/>
      <w:r w:rsidRPr="000C7B31">
        <w:t>Performance Evidence</w:t>
      </w:r>
    </w:p>
    <w:p w:rsidR="00000000" w:rsidRPr="000C7B31" w:rsidP="00B3091E">
      <w:pPr>
        <w:pStyle w:val="BodyText"/>
      </w:pPr>
      <w:r w:rsidRPr="000C7B31">
        <w:t>The candidate must demonstrate the ability to complete the tasks outlined in the elements, performance criteria and foundation skills of this unit, including evidence of the ability to:</w:t>
      </w:r>
    </w:p>
    <w:p w:rsidR="00000000" w:rsidRPr="000C7B31" w:rsidP="000C7B31">
      <w:pPr>
        <w:pStyle w:val="ListBullet"/>
      </w:pPr>
      <w:r w:rsidRPr="000C7B31">
        <w:t>set up and use electronic monitoring systems for glue lines, gatherers and folders for two different jobs, according to manufacturer and job specifications and enterprise procedures.</w:t>
      </w:r>
    </w:p>
    <w:p w:rsidR="00000000" w:rsidRPr="000C7B31" w:rsidP="00B3091E">
      <w:pPr>
        <w:pStyle w:val="BodyText"/>
      </w:pPr>
      <w:r w:rsidRPr="000C7B31">
        <w:t>In the course of the above the candidate must:</w:t>
      </w:r>
    </w:p>
    <w:p w:rsidR="00000000" w:rsidRPr="000C7B31" w:rsidP="000C7B31">
      <w:pPr>
        <w:pStyle w:val="ListBullet"/>
      </w:pPr>
      <w:r w:rsidRPr="000C7B31">
        <w:t>retrieve information from</w:t>
      </w:r>
      <w:r w:rsidRPr="000C7B31">
        <w:t xml:space="preserve"> the electronic system.</w:t>
      </w:r>
    </w:p>
    <w:p w:rsidR="00000000" w:rsidRPr="000C7B31" w:rsidP="000C7B31">
      <w:pPr>
        <w:pStyle w:val="AllowPageBreak"/>
      </w:pPr>
    </w:p>
    <w:p w:rsidR="00000000" w:rsidRPr="000C7B31" w:rsidP="000C7B31">
      <w:pPr>
        <w:pStyle w:val="Heading1"/>
      </w:pPr>
      <w:bookmarkStart w:id="10" w:name="O_1072438"/>
      <w:bookmarkEnd w:id="10"/>
      <w:r w:rsidRPr="000C7B31">
        <w:t>Knowledge Evidence</w:t>
      </w:r>
    </w:p>
    <w:p w:rsidR="00000000" w:rsidRPr="000C7B31" w:rsidP="00B3091E">
      <w:pPr>
        <w:pStyle w:val="BodyText"/>
      </w:pPr>
      <w:r w:rsidRPr="000C7B31">
        <w:t>The candidate must be able to demonstrate knowledge to complete the tasks outlined in the elements, performance criteria and foundation skills of this unit, including knowledge of:</w:t>
      </w:r>
    </w:p>
    <w:p w:rsidR="00000000" w:rsidRPr="000C7B31" w:rsidP="000C7B31">
      <w:pPr>
        <w:pStyle w:val="ListBullet"/>
      </w:pPr>
      <w:r w:rsidRPr="000C7B31">
        <w:t>enterprise a</w:t>
      </w:r>
      <w:r w:rsidRPr="000C7B31">
        <w:t>nd manufacturer procedures, and work health and safety (WHS) requirements for:</w:t>
      </w:r>
    </w:p>
    <w:p w:rsidR="00000000" w:rsidRPr="000C7B31" w:rsidP="000C7B31">
      <w:pPr>
        <w:pStyle w:val="ListBullet2"/>
      </w:pPr>
      <w:r w:rsidRPr="000C7B31">
        <w:t>setting up and operating electronic monitoring systems</w:t>
      </w:r>
    </w:p>
    <w:p w:rsidR="00000000" w:rsidRPr="000C7B31" w:rsidP="000C7B31">
      <w:pPr>
        <w:pStyle w:val="ListBullet2"/>
      </w:pPr>
      <w:r w:rsidRPr="000C7B31">
        <w:t>setting up, operating and adjusting the folding/gluing system</w:t>
      </w:r>
    </w:p>
    <w:p w:rsidR="00000000" w:rsidRPr="000C7B31" w:rsidP="000C7B31">
      <w:pPr>
        <w:pStyle w:val="ListBullet"/>
      </w:pPr>
      <w:r w:rsidRPr="000C7B31">
        <w:t>the purpose of distance between cartons on the machine for</w:t>
      </w:r>
      <w:r w:rsidRPr="000C7B31">
        <w:t xml:space="preserve"> production and for operation of the electronic monitoring system, and for checking the ejector (or marker) </w:t>
      </w:r>
    </w:p>
    <w:p w:rsidR="00000000" w:rsidRPr="000C7B31" w:rsidP="000C7B31">
      <w:pPr>
        <w:pStyle w:val="ListBullet"/>
      </w:pPr>
      <w:r w:rsidRPr="000C7B31">
        <w:t>different carton types and substrates, and the effect on the amount and position of glue required for different carton types</w:t>
      </w:r>
    </w:p>
    <w:p w:rsidR="00000000" w:rsidRPr="000C7B31" w:rsidP="000C7B31">
      <w:pPr>
        <w:pStyle w:val="ListBullet"/>
      </w:pPr>
      <w:r w:rsidRPr="000C7B31">
        <w:t>common problems that a</w:t>
      </w:r>
      <w:r w:rsidRPr="000C7B31">
        <w:t>rise, their causes and correction methods, including:</w:t>
      </w:r>
    </w:p>
    <w:p w:rsidR="00000000" w:rsidRPr="000C7B31" w:rsidP="000C7B31">
      <w:pPr>
        <w:pStyle w:val="ListBullet2"/>
      </w:pPr>
      <w:r w:rsidRPr="000C7B31">
        <w:t>too much or little glue</w:t>
      </w:r>
    </w:p>
    <w:p w:rsidR="00000000" w:rsidRPr="000C7B31" w:rsidP="000C7B31">
      <w:pPr>
        <w:pStyle w:val="ListBullet2"/>
      </w:pPr>
      <w:r w:rsidRPr="000C7B31">
        <w:t>incorrectly positioned glue lines, and adjustments with respect to glue flap length</w:t>
      </w:r>
    </w:p>
    <w:p w:rsidR="00000000" w:rsidRPr="000C7B31" w:rsidP="000C7B31">
      <w:pPr>
        <w:pStyle w:val="ListBullet"/>
      </w:pPr>
      <w:r w:rsidRPr="000C7B31">
        <w:t>types of machine faults registered on the electronic monitoring systems (EMS)</w:t>
      </w:r>
    </w:p>
    <w:p w:rsidR="00000000" w:rsidRPr="000C7B31" w:rsidP="000C7B31">
      <w:pPr>
        <w:pStyle w:val="ListBullet"/>
      </w:pPr>
      <w:r w:rsidRPr="000C7B31">
        <w:t>steps to ensure important features of the EMS are followed</w:t>
      </w:r>
    </w:p>
    <w:p w:rsidR="00000000" w:rsidRPr="000C7B31" w:rsidP="000C7B31">
      <w:pPr>
        <w:pStyle w:val="ListBullet"/>
      </w:pPr>
      <w:r w:rsidRPr="000C7B31">
        <w:t>parts of the folding/gluing system that cause monitoring system to reject product</w:t>
      </w:r>
    </w:p>
    <w:p w:rsidR="00000000" w:rsidRPr="000C7B31" w:rsidP="000C7B31">
      <w:pPr>
        <w:pStyle w:val="ListBullet"/>
      </w:pPr>
      <w:r w:rsidRPr="000C7B31">
        <w:t>techniques ensuring the EMS is ejecting and marking only faulty cartons</w:t>
      </w:r>
    </w:p>
    <w:p w:rsidR="00000000" w:rsidRPr="000C7B31" w:rsidP="000C7B31">
      <w:pPr>
        <w:pStyle w:val="ListBullet"/>
      </w:pPr>
      <w:r w:rsidRPr="000C7B31">
        <w:t>machine limits to the number of rejects</w:t>
      </w:r>
    </w:p>
    <w:p w:rsidR="00000000" w:rsidRPr="000C7B31" w:rsidP="000C7B31">
      <w:pPr>
        <w:pStyle w:val="ListBullet"/>
      </w:pPr>
      <w:r w:rsidRPr="000C7B31">
        <w:t>par</w:t>
      </w:r>
      <w:r w:rsidRPr="000C7B31">
        <w:t>ts of the machine to adjust if reject cartons are not being identified and culled</w:t>
      </w:r>
    </w:p>
    <w:p w:rsidR="00000000" w:rsidRPr="000C7B31" w:rsidP="000C7B31">
      <w:pPr>
        <w:pStyle w:val="ListBullet"/>
      </w:pPr>
      <w:r w:rsidRPr="000C7B31">
        <w:t>faults likely to trigger the signature or sheet monitoring system</w:t>
      </w:r>
    </w:p>
    <w:p w:rsidR="00000000" w:rsidRPr="000C7B31" w:rsidP="000C7B31">
      <w:pPr>
        <w:pStyle w:val="ListBullet"/>
      </w:pPr>
      <w:r w:rsidRPr="000C7B31">
        <w:t>quality principles behind the use of electronic monitoring</w:t>
      </w:r>
    </w:p>
    <w:p w:rsidR="00000000" w:rsidRPr="000C7B31" w:rsidP="000C7B31">
      <w:pPr>
        <w:pStyle w:val="ListBullet"/>
      </w:pPr>
      <w:r w:rsidRPr="000C7B31">
        <w:t>work procedures to implement to minimise faults</w:t>
      </w:r>
    </w:p>
    <w:p w:rsidR="00000000" w:rsidRPr="000C7B31" w:rsidP="000C7B31">
      <w:pPr>
        <w:pStyle w:val="ListBullet"/>
      </w:pPr>
      <w:r w:rsidRPr="000C7B31">
        <w:t>p</w:t>
      </w:r>
      <w:r w:rsidRPr="000C7B31">
        <w:t xml:space="preserve">roduction records to be written up, and the information to be included </w:t>
      </w:r>
    </w:p>
    <w:p w:rsidR="00000000" w:rsidRPr="000C7B31" w:rsidP="000C7B31">
      <w:pPr>
        <w:pStyle w:val="ListBullet"/>
      </w:pPr>
      <w:r w:rsidRPr="000C7B31">
        <w:t>manufacturer manuals, enterprise procedures and work health and safety documentation, including their location and purpose.</w:t>
      </w:r>
    </w:p>
    <w:p w:rsidR="00000000" w:rsidRPr="000C7B31" w:rsidP="000C7B31">
      <w:pPr>
        <w:pStyle w:val="AllowPageBreak"/>
      </w:pPr>
    </w:p>
    <w:p w:rsidR="00000000" w:rsidRPr="000C7B31" w:rsidP="000C7B31">
      <w:pPr>
        <w:pStyle w:val="Heading1"/>
      </w:pPr>
      <w:bookmarkStart w:id="11" w:name="O_1072437"/>
      <w:bookmarkEnd w:id="11"/>
      <w:r w:rsidRPr="000C7B31">
        <w:t>Assessment Conditions</w:t>
      </w:r>
    </w:p>
    <w:p w:rsidR="00000000" w:rsidRPr="000C7B31" w:rsidP="00B3091E">
      <w:pPr>
        <w:pStyle w:val="BodyText"/>
      </w:pPr>
      <w:r w:rsidRPr="000C7B31">
        <w:t>Skills in this unit must be demonstrated in a workplace or simulated environment where the conditions are typical of those in a working environment in this industry. Noise levels, production flow, interruptions and time variances must be typical of those e</w:t>
      </w:r>
      <w:r w:rsidRPr="000C7B31">
        <w:t xml:space="preserve">xperienced in the converting, binding and finishing field of work and include access to: </w:t>
      </w:r>
    </w:p>
    <w:p w:rsidR="00000000" w:rsidRPr="000C7B31" w:rsidP="000C7B31">
      <w:pPr>
        <w:pStyle w:val="ListBullet"/>
      </w:pPr>
      <w:r w:rsidRPr="000C7B31">
        <w:t>special purpose tools, equipment and materials</w:t>
      </w:r>
    </w:p>
    <w:p w:rsidR="00000000" w:rsidRPr="000C7B31" w:rsidP="000C7B31">
      <w:pPr>
        <w:pStyle w:val="ListBullet"/>
      </w:pPr>
      <w:r w:rsidRPr="000C7B31">
        <w:t>electronic monitoring systems.</w:t>
      </w:r>
    </w:p>
    <w:p w:rsidR="00000000" w:rsidRPr="000C7B31" w:rsidP="00B3091E">
      <w:pPr>
        <w:pStyle w:val="BodyText"/>
      </w:pPr>
      <w:r w:rsidRPr="000C7B31">
        <w:t>Assessors of this unit must satisfy the requirements for assessors in applicable vocati</w:t>
      </w:r>
      <w:r w:rsidRPr="000C7B31">
        <w:t>onal education and training legislation, frameworks and/or standards.</w:t>
      </w:r>
    </w:p>
    <w:p w:rsidR="00000000" w:rsidRPr="000C7B31" w:rsidP="000C7B31">
      <w:pPr>
        <w:pStyle w:val="Heading1"/>
      </w:pPr>
      <w:bookmarkStart w:id="12" w:name="O_1072435"/>
      <w:bookmarkEnd w:id="12"/>
      <w:r w:rsidRPr="000C7B31">
        <w:t>Links</w:t>
      </w:r>
    </w:p>
    <w:p w:rsidR="00000000" w:rsidRPr="000C7B31" w:rsidP="00B3091E">
      <w:pPr>
        <w:pStyle w:val="BodyText"/>
      </w:pPr>
      <w:r w:rsidRPr="000C7B3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77959">
        <w:rPr>
          <w:rStyle w:val="Hyperlink"/>
        </w:rPr>
        <w:t>https://vetnet.gov.au/Pages/TrainingDocs.aspx?q=a74b7a0f-a253-47e3-8be0-5d426e24131d</w:t>
      </w:r>
      <w:r>
        <w:fldChar w:fldCharType="end"/>
      </w:r>
    </w:p>
    <w:p w:rsidR="00000000" w:rsidRPr="000C7B31" w:rsidP="000C7B31"/>
    <w:sectPr w:rsidSect="000C7B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1" w:rsidRPr="00B3091E" w:rsidP="00B309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1E" w:rsidP="000C7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91E" w:rsidP="000C7B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091E" w:rsidP="000C7B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1" w:rsidP="000C7B31">
    <w:pPr>
      <w:pStyle w:val="Footer"/>
      <w:framePr w:wrap="around"/>
    </w:pPr>
    <w:r>
      <w:fldChar w:fldCharType="begin"/>
    </w:r>
    <w:r>
      <w:instrText xml:space="preserve"> DOCPROPERTY  Subject  \* MERGEFORMAT </w:instrText>
    </w:r>
    <w:r>
      <w:fldChar w:fldCharType="separate"/>
    </w:r>
    <w:r w:rsidR="00B3091E">
      <w:t>Approved</w:t>
    </w:r>
    <w:r w:rsidR="00B3091E">
      <w:fldChar w:fldCharType="end"/>
    </w:r>
    <w:r>
      <w:tab/>
      <w:t xml:space="preserve">Page </w:t>
    </w:r>
    <w:r>
      <w:fldChar w:fldCharType="begin"/>
    </w:r>
    <w:r>
      <w:instrText xml:space="preserve"> PAGE  \* Arabic  \* MERGEFORMAT </w:instrText>
    </w:r>
    <w:r>
      <w:fldChar w:fldCharType="separate"/>
    </w:r>
    <w:r w:rsidR="00B309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91E">
      <w:rPr>
        <w:noProof/>
      </w:rPr>
      <w:t>4</w:t>
    </w:r>
    <w:r>
      <w:rPr>
        <w:noProof/>
      </w:rPr>
      <w:fldChar w:fldCharType="end"/>
    </w:r>
  </w:p>
  <w:p w:rsidR="000C7B31" w:rsidP="000C7B31">
    <w:pPr>
      <w:pStyle w:val="Footer"/>
      <w:framePr w:wrap="around"/>
    </w:pPr>
    <w:r>
      <w:t xml:space="preserve">© Commonwealth of Australia, </w:t>
    </w:r>
    <w:r>
      <w:fldChar w:fldCharType="begin"/>
    </w:r>
    <w:r>
      <w:instrText xml:space="preserve"> DATE  \@ "yyyy"  \* MERGEFORMAT </w:instrText>
    </w:r>
    <w:r>
      <w:fldChar w:fldCharType="separate"/>
    </w:r>
    <w:r w:rsidR="00B3091E">
      <w:rPr>
        <w:noProof/>
      </w:rPr>
      <w:t>2025</w:t>
    </w:r>
    <w:r>
      <w:fldChar w:fldCharType="end"/>
    </w:r>
    <w:r>
      <w:tab/>
    </w:r>
    <w:r>
      <w:fldChar w:fldCharType="begin"/>
    </w:r>
    <w:r>
      <w:instrText xml:space="preserve"> DOCPROPERTY  Author  \* MERGEFORMAT </w:instrText>
    </w:r>
    <w:r>
      <w:fldChar w:fldCharType="separate"/>
    </w:r>
    <w:r w:rsidR="00B3091E">
      <w:t>Manufacturing Industry Skills Alliance</w:t>
    </w:r>
    <w:r w:rsidR="00B3091E">
      <w:fldChar w:fldCharType="end"/>
    </w:r>
  </w:p>
  <w:p w:rsidR="000C7B31" w:rsidP="000C7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B31" w:rsidRPr="00B3091E" w:rsidP="00B309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1E" w:rsidRPr="002D2AF8" w:rsidP="000C7B31">
    <w:pPr>
      <w:pStyle w:val="Header"/>
      <w:framePr w:wrap="around"/>
    </w:pPr>
    <w:r>
      <w:fldChar w:fldCharType="begin"/>
    </w:r>
    <w:r>
      <w:instrText xml:space="preserve"> TITLE   \* MERGEFORMAT </w:instrText>
    </w:r>
    <w:r>
      <w:fldChar w:fldCharType="separate"/>
    </w:r>
    <w:r>
      <w:t>ICPCBF3910 Use electronic monitoring systems (converting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91E" w:rsidP="000C7B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1" w:rsidRPr="002D2AF8" w:rsidP="000C7B31">
    <w:pPr>
      <w:pStyle w:val="Header"/>
      <w:framePr w:wrap="around"/>
    </w:pPr>
    <w:r>
      <w:fldChar w:fldCharType="begin"/>
    </w:r>
    <w:r>
      <w:instrText xml:space="preserve"> TITLE   \* MERGEFORMAT </w:instrText>
    </w:r>
    <w:r>
      <w:fldChar w:fldCharType="separate"/>
    </w:r>
    <w:r w:rsidR="00B3091E">
      <w:t>ICPCBF3910 Use electronic monitoring systems (converting and finishing)</w:t>
    </w:r>
    <w:r w:rsidR="00B3091E">
      <w:fldChar w:fldCharType="end"/>
    </w:r>
    <w:r>
      <w:tab/>
      <w:t xml:space="preserve">Date this document was generated: </w:t>
    </w:r>
    <w:r>
      <w:fldChar w:fldCharType="begin"/>
    </w:r>
    <w:r>
      <w:instrText xml:space="preserve"> CREATEDATE  \@ "d MMMM yyyy"  \* MERGEFORMAT </w:instrText>
    </w:r>
    <w:r>
      <w:fldChar w:fldCharType="separate"/>
    </w:r>
    <w:r w:rsidR="00B3091E">
      <w:rPr>
        <w:noProof/>
      </w:rPr>
      <w:t>2 March 2025</w:t>
    </w:r>
    <w:r>
      <w:fldChar w:fldCharType="end"/>
    </w:r>
  </w:p>
  <w:p w:rsidR="000C7B31" w:rsidP="000C7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7A5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0D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C0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B31"/>
    <w:pPr>
      <w:spacing w:before="360" w:after="60"/>
      <w:outlineLvl w:val="0"/>
    </w:pPr>
    <w:rPr>
      <w:sz w:val="32"/>
    </w:rPr>
  </w:style>
  <w:style w:type="paragraph" w:styleId="Heading2">
    <w:name w:val="heading 2"/>
    <w:basedOn w:val="HeadingBase"/>
    <w:next w:val="BodyText"/>
    <w:link w:val="Heading2Char"/>
    <w:qFormat/>
    <w:rsid w:val="000C7B31"/>
    <w:pPr>
      <w:keepLines/>
      <w:spacing w:before="240" w:after="120"/>
      <w:outlineLvl w:val="1"/>
    </w:pPr>
    <w:rPr>
      <w:sz w:val="28"/>
      <w:szCs w:val="40"/>
    </w:rPr>
  </w:style>
  <w:style w:type="paragraph" w:styleId="Heading3">
    <w:name w:val="heading 3"/>
    <w:basedOn w:val="HeadingBase"/>
    <w:next w:val="BodyText"/>
    <w:link w:val="Heading3Char"/>
    <w:qFormat/>
    <w:rsid w:val="000C7B31"/>
    <w:pPr>
      <w:spacing w:before="180" w:after="120"/>
      <w:outlineLvl w:val="2"/>
    </w:pPr>
    <w:rPr>
      <w:spacing w:val="-10"/>
      <w:kern w:val="32"/>
    </w:rPr>
  </w:style>
  <w:style w:type="paragraph" w:styleId="Heading4">
    <w:name w:val="heading 4"/>
    <w:basedOn w:val="HeadingBase"/>
    <w:next w:val="BodyText"/>
    <w:link w:val="Heading4Char"/>
    <w:qFormat/>
    <w:rsid w:val="000C7B31"/>
    <w:pPr>
      <w:spacing w:before="160" w:after="120"/>
      <w:outlineLvl w:val="3"/>
    </w:pPr>
    <w:rPr>
      <w:sz w:val="22"/>
    </w:rPr>
  </w:style>
  <w:style w:type="paragraph" w:styleId="Heading5">
    <w:name w:val="heading 5"/>
    <w:basedOn w:val="HeadingBase"/>
    <w:next w:val="Normal"/>
    <w:link w:val="Heading5Char"/>
    <w:qFormat/>
    <w:rsid w:val="000C7B31"/>
    <w:pPr>
      <w:spacing w:before="80"/>
      <w:outlineLvl w:val="4"/>
    </w:pPr>
    <w:rPr>
      <w:color w:val="918585"/>
      <w:sz w:val="20"/>
    </w:rPr>
  </w:style>
  <w:style w:type="paragraph" w:styleId="Heading6">
    <w:name w:val="heading 6"/>
    <w:basedOn w:val="HeadingBase"/>
    <w:next w:val="Normal"/>
    <w:link w:val="Heading6Char"/>
    <w:qFormat/>
    <w:rsid w:val="000C7B31"/>
    <w:pPr>
      <w:spacing w:before="60"/>
      <w:outlineLvl w:val="5"/>
    </w:pPr>
    <w:rPr>
      <w:color w:val="918585"/>
      <w:sz w:val="20"/>
    </w:rPr>
  </w:style>
  <w:style w:type="paragraph" w:styleId="Heading7">
    <w:name w:val="heading 7"/>
    <w:basedOn w:val="Normal"/>
    <w:next w:val="Normal"/>
    <w:link w:val="Heading7Char"/>
    <w:qFormat/>
    <w:rsid w:val="000C7B31"/>
    <w:pPr>
      <w:ind w:left="720"/>
      <w:outlineLvl w:val="6"/>
    </w:pPr>
    <w:rPr>
      <w:i/>
    </w:rPr>
  </w:style>
  <w:style w:type="paragraph" w:styleId="Heading8">
    <w:name w:val="heading 8"/>
    <w:basedOn w:val="Normal"/>
    <w:next w:val="Normal"/>
    <w:link w:val="Heading8Char"/>
    <w:qFormat/>
    <w:rsid w:val="000C7B31"/>
    <w:pPr>
      <w:ind w:left="720"/>
      <w:outlineLvl w:val="7"/>
    </w:pPr>
    <w:rPr>
      <w:i/>
    </w:rPr>
  </w:style>
  <w:style w:type="paragraph" w:styleId="Heading9">
    <w:name w:val="heading 9"/>
    <w:basedOn w:val="Normal"/>
    <w:next w:val="Normal"/>
    <w:link w:val="Heading9Char"/>
    <w:qFormat/>
    <w:rsid w:val="000C7B31"/>
    <w:pPr>
      <w:ind w:left="720"/>
      <w:outlineLvl w:val="8"/>
    </w:pPr>
    <w:rPr>
      <w:i/>
    </w:rPr>
  </w:style>
  <w:style w:type="character" w:default="1" w:styleId="DefaultParagraphFont">
    <w:name w:val="Default Paragraph Font"/>
    <w:uiPriority w:val="1"/>
    <w:unhideWhenUsed/>
    <w:rsid w:val="000C7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B31"/>
  </w:style>
  <w:style w:type="character" w:customStyle="1" w:styleId="Heading1Char">
    <w:name w:val="Heading 1 Char"/>
    <w:basedOn w:val="DefaultParagraphFont"/>
    <w:link w:val="Heading1"/>
    <w:rsid w:val="000C7B31"/>
    <w:rPr>
      <w:rFonts w:ascii="Times New Roman" w:eastAsia="Times New Roman" w:hAnsi="Times New Roman" w:cs="Times New Roman"/>
      <w:b/>
      <w:sz w:val="32"/>
      <w:szCs w:val="20"/>
      <w:lang w:eastAsia="en-US"/>
    </w:rPr>
  </w:style>
  <w:style w:type="paragraph" w:styleId="BodyText">
    <w:name w:val="Body Text"/>
    <w:basedOn w:val="Normal"/>
    <w:link w:val="BodyTextChar"/>
    <w:rsid w:val="000C7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B31"/>
    <w:rPr>
      <w:rFonts w:ascii="Times New Roman" w:eastAsia="Times New Roman" w:hAnsi="Times New Roman" w:cs="Times New Roman"/>
      <w:sz w:val="24"/>
      <w:lang w:eastAsia="en-US"/>
    </w:rPr>
  </w:style>
  <w:style w:type="paragraph" w:styleId="ListBullet">
    <w:name w:val="List Bullet"/>
    <w:basedOn w:val="List"/>
    <w:rsid w:val="000C7B31"/>
    <w:pPr>
      <w:numPr>
        <w:numId w:val="12"/>
      </w:numPr>
      <w:tabs>
        <w:tab w:val="clear" w:pos="340"/>
      </w:tabs>
      <w:spacing w:before="40" w:after="40"/>
    </w:pPr>
  </w:style>
  <w:style w:type="character" w:customStyle="1" w:styleId="SpecialBold">
    <w:name w:val="Special Bold"/>
    <w:basedOn w:val="DefaultParagraphFont"/>
    <w:rsid w:val="000C7B31"/>
    <w:rPr>
      <w:b/>
      <w:spacing w:val="0"/>
    </w:rPr>
  </w:style>
  <w:style w:type="paragraph" w:styleId="ListBullet2">
    <w:name w:val="List Bullet 2"/>
    <w:basedOn w:val="List2"/>
    <w:rsid w:val="000C7B31"/>
    <w:pPr>
      <w:numPr>
        <w:numId w:val="13"/>
      </w:numPr>
      <w:tabs>
        <w:tab w:val="clear" w:pos="680"/>
      </w:tabs>
    </w:pPr>
  </w:style>
  <w:style w:type="character" w:styleId="Emphasis">
    <w:name w:val="Emphasis"/>
    <w:basedOn w:val="DefaultParagraphFont"/>
    <w:qFormat/>
    <w:rsid w:val="000C7B31"/>
    <w:rPr>
      <w:i/>
    </w:rPr>
  </w:style>
  <w:style w:type="paragraph" w:customStyle="1" w:styleId="SuperHeading">
    <w:name w:val="SuperHeading"/>
    <w:basedOn w:val="Normal"/>
    <w:rsid w:val="000C7B31"/>
    <w:pPr>
      <w:spacing w:before="240" w:after="120"/>
      <w:outlineLvl w:val="0"/>
    </w:pPr>
    <w:rPr>
      <w:rFonts w:ascii="Times New Roman" w:hAnsi="Times New Roman"/>
      <w:b/>
      <w:sz w:val="32"/>
    </w:rPr>
  </w:style>
  <w:style w:type="paragraph" w:customStyle="1" w:styleId="AllowPageBreak">
    <w:name w:val="AllowPageBreak"/>
    <w:rsid w:val="000C7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B31"/>
    <w:rPr>
      <w:rFonts w:ascii="Courier New" w:eastAsia="Times New Roman" w:hAnsi="Courier New" w:cs="Times New Roman"/>
      <w:i/>
      <w:szCs w:val="20"/>
      <w:lang w:eastAsia="en-US"/>
    </w:rPr>
  </w:style>
  <w:style w:type="paragraph" w:customStyle="1" w:styleId="HeadingBase">
    <w:name w:val="Heading Base"/>
    <w:rsid w:val="000C7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B31"/>
    <w:pPr>
      <w:tabs>
        <w:tab w:val="right" w:leader="dot" w:pos="9072"/>
      </w:tabs>
      <w:ind w:left="567"/>
    </w:pPr>
    <w:rPr>
      <w:szCs w:val="22"/>
    </w:rPr>
  </w:style>
  <w:style w:type="paragraph" w:customStyle="1" w:styleId="TOCBase">
    <w:name w:val="TOC Base"/>
    <w:rsid w:val="000C7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B31"/>
    <w:pPr>
      <w:tabs>
        <w:tab w:val="right" w:leader="dot" w:pos="9072"/>
      </w:tabs>
      <w:spacing w:before="40" w:after="40"/>
      <w:ind w:left="284"/>
    </w:pPr>
    <w:rPr>
      <w:rFonts w:ascii="Times New Roman" w:hAnsi="Times New Roman"/>
    </w:rPr>
  </w:style>
  <w:style w:type="paragraph" w:styleId="TOC1">
    <w:name w:val="toc 1"/>
    <w:basedOn w:val="TOCBase"/>
    <w:next w:val="Normal"/>
    <w:rsid w:val="000C7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B31"/>
    <w:rPr>
      <w:rFonts w:ascii="Times New Roman" w:eastAsia="Times New Roman" w:hAnsi="Times New Roman" w:cs="Times New Roman"/>
      <w:sz w:val="16"/>
      <w:lang w:eastAsia="en-US"/>
    </w:rPr>
  </w:style>
  <w:style w:type="paragraph" w:styleId="Title">
    <w:name w:val="Title"/>
    <w:basedOn w:val="HeadingBase"/>
    <w:link w:val="TitleChar"/>
    <w:qFormat/>
    <w:rsid w:val="000C7B31"/>
    <w:pPr>
      <w:spacing w:before="5040"/>
      <w:jc w:val="center"/>
    </w:pPr>
    <w:rPr>
      <w:sz w:val="48"/>
      <w:szCs w:val="72"/>
      <w:lang w:val="en-US"/>
    </w:rPr>
  </w:style>
  <w:style w:type="character" w:customStyle="1" w:styleId="TitleChar">
    <w:name w:val="Title Char"/>
    <w:basedOn w:val="DefaultParagraphFont"/>
    <w:link w:val="Title"/>
    <w:rsid w:val="000C7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B31"/>
    <w:pPr>
      <w:tabs>
        <w:tab w:val="left" w:pos="3600"/>
        <w:tab w:val="left" w:pos="3958"/>
      </w:tabs>
    </w:pPr>
  </w:style>
  <w:style w:type="paragraph" w:styleId="List">
    <w:name w:val="List"/>
    <w:basedOn w:val="BodyText"/>
    <w:next w:val="BodyText"/>
    <w:rsid w:val="000C7B31"/>
    <w:pPr>
      <w:tabs>
        <w:tab w:val="left" w:pos="340"/>
      </w:tabs>
      <w:spacing w:before="60" w:after="60"/>
      <w:ind w:left="340" w:hanging="340"/>
    </w:pPr>
  </w:style>
  <w:style w:type="paragraph" w:customStyle="1" w:styleId="Note">
    <w:name w:val="Note"/>
    <w:basedOn w:val="BodyText"/>
    <w:rsid w:val="000C7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B31"/>
    <w:pPr>
      <w:framePr w:wrap="auto" w:hAnchor="text" w:y="6049"/>
    </w:pPr>
    <w:rPr>
      <w:color w:val="000000"/>
      <w:sz w:val="40"/>
    </w:rPr>
  </w:style>
  <w:style w:type="paragraph" w:customStyle="1" w:styleId="TOCTitle">
    <w:name w:val="TOCTitle"/>
    <w:basedOn w:val="Heading1"/>
    <w:rsid w:val="000C7B31"/>
    <w:pPr>
      <w:spacing w:after="240"/>
      <w:jc w:val="center"/>
      <w:outlineLvl w:val="9"/>
    </w:pPr>
    <w:rPr>
      <w:caps/>
    </w:rPr>
  </w:style>
  <w:style w:type="paragraph" w:customStyle="1" w:styleId="Version">
    <w:name w:val="Version"/>
    <w:rsid w:val="000C7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B31"/>
    <w:pPr>
      <w:keepNext w:val="0"/>
      <w:tabs>
        <w:tab w:val="right" w:pos="4176"/>
      </w:tabs>
      <w:ind w:left="198" w:hanging="198"/>
    </w:pPr>
    <w:rPr>
      <w:rFonts w:ascii="Garamond" w:hAnsi="Garamond"/>
    </w:rPr>
  </w:style>
  <w:style w:type="paragraph" w:styleId="IndexHeading">
    <w:name w:val="index heading"/>
    <w:basedOn w:val="Normal"/>
    <w:next w:val="Index1"/>
    <w:semiHidden/>
    <w:rsid w:val="000C7B31"/>
    <w:pPr>
      <w:spacing w:before="120" w:after="120"/>
    </w:pPr>
    <w:rPr>
      <w:rFonts w:ascii="Arial" w:hAnsi="Arial"/>
      <w:b/>
      <w:color w:val="918585"/>
      <w:sz w:val="24"/>
    </w:rPr>
  </w:style>
  <w:style w:type="paragraph" w:styleId="Header">
    <w:name w:val="header"/>
    <w:basedOn w:val="Normal"/>
    <w:link w:val="HeaderChar"/>
    <w:rsid w:val="000C7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B31"/>
    <w:rPr>
      <w:rFonts w:ascii="Times New Roman" w:eastAsia="Times New Roman" w:hAnsi="Times New Roman" w:cs="Times New Roman"/>
      <w:sz w:val="16"/>
      <w:szCs w:val="20"/>
      <w:lang w:val="en-GB" w:eastAsia="en-US"/>
    </w:rPr>
  </w:style>
  <w:style w:type="paragraph" w:customStyle="1" w:styleId="Chapter">
    <w:name w:val="Chapter"/>
    <w:basedOn w:val="Normal"/>
    <w:rsid w:val="000C7B31"/>
    <w:pPr>
      <w:spacing w:before="240"/>
    </w:pPr>
    <w:rPr>
      <w:rFonts w:ascii="Times New Roman" w:hAnsi="Times New Roman"/>
      <w:smallCaps/>
      <w:spacing w:val="80"/>
      <w:sz w:val="28"/>
    </w:rPr>
  </w:style>
  <w:style w:type="paragraph" w:customStyle="1" w:styleId="InChapter">
    <w:name w:val="InChapter"/>
    <w:basedOn w:val="Heading3"/>
    <w:rsid w:val="000C7B31"/>
    <w:pPr>
      <w:spacing w:after="240"/>
      <w:outlineLvl w:val="9"/>
    </w:pPr>
    <w:rPr>
      <w:noProof/>
    </w:rPr>
  </w:style>
  <w:style w:type="paragraph" w:styleId="Index2">
    <w:name w:val="index 2"/>
    <w:basedOn w:val="Normal"/>
    <w:next w:val="Normal"/>
    <w:semiHidden/>
    <w:rsid w:val="000C7B31"/>
    <w:pPr>
      <w:tabs>
        <w:tab w:val="right" w:pos="4176"/>
      </w:tabs>
      <w:ind w:left="568" w:hanging="284"/>
    </w:pPr>
    <w:rPr>
      <w:rFonts w:ascii="Garamond" w:hAnsi="Garamond"/>
    </w:rPr>
  </w:style>
  <w:style w:type="paragraph" w:customStyle="1" w:styleId="Byline">
    <w:name w:val="Byline"/>
    <w:rsid w:val="000C7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B31"/>
    <w:pPr>
      <w:tabs>
        <w:tab w:val="clear" w:pos="3600"/>
        <w:tab w:val="clear" w:pos="3958"/>
      </w:tabs>
      <w:jc w:val="right"/>
    </w:pPr>
  </w:style>
  <w:style w:type="paragraph" w:styleId="Caption">
    <w:name w:val="caption"/>
    <w:basedOn w:val="BodyText"/>
    <w:next w:val="Normal"/>
    <w:qFormat/>
    <w:rsid w:val="000C7B31"/>
    <w:pPr>
      <w:framePr w:w="2268" w:hSpace="181" w:vSpace="181" w:wrap="around" w:vAnchor="text" w:hAnchor="page" w:x="1135" w:y="285" w:anchorLock="1"/>
    </w:pPr>
    <w:rPr>
      <w:i/>
    </w:rPr>
  </w:style>
  <w:style w:type="paragraph" w:customStyle="1" w:styleId="MiniTOCTitle">
    <w:name w:val="MiniTOCTitle"/>
    <w:basedOn w:val="Heading4"/>
    <w:rsid w:val="000C7B31"/>
    <w:pPr>
      <w:spacing w:before="240"/>
      <w:outlineLvl w:val="9"/>
    </w:pPr>
    <w:rPr>
      <w:noProof/>
      <w:sz w:val="24"/>
    </w:rPr>
  </w:style>
  <w:style w:type="paragraph" w:customStyle="1" w:styleId="MiniTOCItem">
    <w:name w:val="MiniTOCItem"/>
    <w:basedOn w:val="ListBullet"/>
    <w:rsid w:val="000C7B31"/>
    <w:pPr>
      <w:numPr>
        <w:numId w:val="0"/>
      </w:numPr>
      <w:tabs>
        <w:tab w:val="right" w:leader="dot" w:pos="6521"/>
      </w:tabs>
      <w:spacing w:before="0" w:after="0"/>
    </w:pPr>
  </w:style>
  <w:style w:type="paragraph" w:customStyle="1" w:styleId="TOFTitle">
    <w:name w:val="TOFTitle"/>
    <w:basedOn w:val="TOCTitle"/>
    <w:rsid w:val="000C7B31"/>
  </w:style>
  <w:style w:type="paragraph" w:styleId="TableofFigures">
    <w:name w:val="table of figures"/>
    <w:basedOn w:val="Normal"/>
    <w:next w:val="Normal"/>
    <w:semiHidden/>
    <w:rsid w:val="000C7B31"/>
    <w:pPr>
      <w:tabs>
        <w:tab w:val="right" w:leader="dot" w:pos="9072"/>
      </w:tabs>
      <w:ind w:left="970" w:hanging="403"/>
    </w:pPr>
    <w:rPr>
      <w:rFonts w:ascii="Times New Roman" w:hAnsi="Times New Roman"/>
      <w:b/>
    </w:rPr>
  </w:style>
  <w:style w:type="paragraph" w:styleId="ListNumber">
    <w:name w:val="List Number"/>
    <w:basedOn w:val="List"/>
    <w:rsid w:val="000C7B31"/>
    <w:pPr>
      <w:numPr>
        <w:numId w:val="15"/>
      </w:numPr>
      <w:tabs>
        <w:tab w:val="clear" w:pos="340"/>
      </w:tabs>
    </w:pPr>
  </w:style>
  <w:style w:type="character" w:customStyle="1" w:styleId="WingdingSymbols">
    <w:name w:val="Wingding Symbols"/>
    <w:rsid w:val="000C7B31"/>
    <w:rPr>
      <w:rFonts w:ascii="Wingdings" w:hAnsi="Wingdings"/>
    </w:rPr>
  </w:style>
  <w:style w:type="paragraph" w:customStyle="1" w:styleId="TableHeading">
    <w:name w:val="Table Heading"/>
    <w:basedOn w:val="HeadingBase"/>
    <w:rsid w:val="000C7B31"/>
    <w:pPr>
      <w:keepLines/>
      <w:pBdr>
        <w:bottom w:val="single" w:sz="6" w:space="1" w:color="918585"/>
      </w:pBdr>
      <w:spacing w:before="240"/>
    </w:pPr>
  </w:style>
  <w:style w:type="character" w:customStyle="1" w:styleId="HotSpot">
    <w:name w:val="HotSpot"/>
    <w:rsid w:val="000C7B31"/>
    <w:rPr>
      <w:color w:val="0033CC"/>
      <w:u w:val="none"/>
    </w:rPr>
  </w:style>
  <w:style w:type="paragraph" w:customStyle="1" w:styleId="BodyTextRight">
    <w:name w:val="Body Text Right"/>
    <w:basedOn w:val="BodyText"/>
    <w:rsid w:val="000C7B31"/>
    <w:pPr>
      <w:spacing w:before="0" w:after="0"/>
      <w:jc w:val="right"/>
    </w:pPr>
  </w:style>
  <w:style w:type="paragraph" w:styleId="Index3">
    <w:name w:val="index 3"/>
    <w:basedOn w:val="ListNumber2"/>
    <w:next w:val="Normal"/>
    <w:semiHidden/>
    <w:rsid w:val="000C7B31"/>
    <w:pPr>
      <w:numPr>
        <w:numId w:val="0"/>
      </w:numPr>
      <w:tabs>
        <w:tab w:val="right" w:leader="dot" w:pos="4176"/>
      </w:tabs>
    </w:pPr>
  </w:style>
  <w:style w:type="paragraph" w:styleId="ListNumber2">
    <w:name w:val="List Number 2"/>
    <w:basedOn w:val="List2"/>
    <w:rsid w:val="000C7B31"/>
    <w:pPr>
      <w:numPr>
        <w:numId w:val="10"/>
      </w:numPr>
      <w:tabs>
        <w:tab w:val="clear" w:pos="1060"/>
      </w:tabs>
    </w:pPr>
  </w:style>
  <w:style w:type="paragraph" w:customStyle="1" w:styleId="MarginNote">
    <w:name w:val="Margin Note"/>
    <w:basedOn w:val="BodyText"/>
    <w:rsid w:val="000C7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B31"/>
    <w:rPr>
      <w:sz w:val="32"/>
    </w:rPr>
  </w:style>
  <w:style w:type="paragraph" w:customStyle="1" w:styleId="HeadingProcedure">
    <w:name w:val="Heading Procedure"/>
    <w:basedOn w:val="HeadingBase"/>
    <w:next w:val="Normal"/>
    <w:rsid w:val="000C7B31"/>
    <w:pPr>
      <w:tabs>
        <w:tab w:val="left" w:pos="0"/>
      </w:tabs>
      <w:spacing w:before="120" w:after="60"/>
    </w:pPr>
    <w:rPr>
      <w:i/>
      <w:color w:val="918585"/>
      <w:sz w:val="22"/>
    </w:rPr>
  </w:style>
  <w:style w:type="paragraph" w:customStyle="1" w:styleId="TableBodyText">
    <w:name w:val="Table Body Text"/>
    <w:basedOn w:val="BodyText"/>
    <w:rsid w:val="000C7B31"/>
    <w:pPr>
      <w:spacing w:before="60" w:after="60"/>
    </w:pPr>
  </w:style>
  <w:style w:type="paragraph" w:styleId="ListContinue">
    <w:name w:val="List Continue"/>
    <w:basedOn w:val="List"/>
    <w:rsid w:val="000C7B31"/>
    <w:pPr>
      <w:ind w:firstLine="0"/>
    </w:pPr>
  </w:style>
  <w:style w:type="paragraph" w:customStyle="1" w:styleId="ListNote">
    <w:name w:val="List Note"/>
    <w:basedOn w:val="List"/>
    <w:rsid w:val="000C7B31"/>
    <w:pPr>
      <w:pBdr>
        <w:top w:val="single" w:sz="6" w:space="2" w:color="918585"/>
        <w:bottom w:val="single" w:sz="6" w:space="2" w:color="918585"/>
      </w:pBdr>
      <w:tabs>
        <w:tab w:val="left" w:pos="1021"/>
      </w:tabs>
      <w:ind w:firstLine="0"/>
    </w:pPr>
  </w:style>
  <w:style w:type="paragraph" w:customStyle="1" w:styleId="Warning">
    <w:name w:val="Warning"/>
    <w:basedOn w:val="BodyText"/>
    <w:rsid w:val="000C7B31"/>
    <w:pPr>
      <w:shd w:val="clear" w:color="auto" w:fill="D9D9D9"/>
      <w:tabs>
        <w:tab w:val="left" w:pos="992"/>
      </w:tabs>
      <w:ind w:left="119" w:right="119"/>
    </w:pPr>
    <w:rPr>
      <w:sz w:val="20"/>
    </w:rPr>
  </w:style>
  <w:style w:type="paragraph" w:customStyle="1" w:styleId="MarginIcons">
    <w:name w:val="Margin Icons"/>
    <w:basedOn w:val="BodyText"/>
    <w:rsid w:val="000C7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B31"/>
    <w:rPr>
      <w:rFonts w:ascii="Courier New" w:hAnsi="Courier New"/>
    </w:rPr>
  </w:style>
  <w:style w:type="paragraph" w:customStyle="1" w:styleId="NoteBullet">
    <w:name w:val="Note Bullet"/>
    <w:basedOn w:val="Note"/>
    <w:rsid w:val="000C7B31"/>
    <w:pPr>
      <w:tabs>
        <w:tab w:val="clear" w:pos="680"/>
      </w:tabs>
      <w:spacing w:before="60" w:after="60"/>
    </w:pPr>
  </w:style>
  <w:style w:type="paragraph" w:customStyle="1" w:styleId="SubHeading2">
    <w:name w:val="SubHeading2"/>
    <w:basedOn w:val="HeadingBase"/>
    <w:rsid w:val="000C7B31"/>
    <w:pPr>
      <w:spacing w:before="240" w:after="60"/>
    </w:pPr>
    <w:rPr>
      <w:sz w:val="20"/>
    </w:rPr>
  </w:style>
  <w:style w:type="paragraph" w:customStyle="1" w:styleId="SubHeading1">
    <w:name w:val="SubHeading1"/>
    <w:basedOn w:val="HeadingBase"/>
    <w:rsid w:val="000C7B31"/>
    <w:pPr>
      <w:spacing w:before="240" w:after="60"/>
    </w:pPr>
    <w:rPr>
      <w:color w:val="918585"/>
      <w:sz w:val="22"/>
    </w:rPr>
  </w:style>
  <w:style w:type="paragraph" w:customStyle="1" w:styleId="SideHeading">
    <w:name w:val="Side Heading"/>
    <w:basedOn w:val="HeadingBase"/>
    <w:rsid w:val="000C7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B31"/>
    <w:pPr>
      <w:tabs>
        <w:tab w:val="num" w:pos="360"/>
      </w:tabs>
    </w:pPr>
  </w:style>
  <w:style w:type="paragraph" w:styleId="PlainText">
    <w:name w:val="Plain Text"/>
    <w:basedOn w:val="Normal"/>
    <w:link w:val="PlainTextChar"/>
    <w:rsid w:val="000C7B31"/>
    <w:rPr>
      <w:sz w:val="20"/>
    </w:rPr>
  </w:style>
  <w:style w:type="character" w:customStyle="1" w:styleId="PlainTextChar">
    <w:name w:val="Plain Text Char"/>
    <w:basedOn w:val="DefaultParagraphFont"/>
    <w:link w:val="PlainText"/>
    <w:rsid w:val="000C7B31"/>
    <w:rPr>
      <w:rFonts w:ascii="Courier New" w:eastAsia="Times New Roman" w:hAnsi="Courier New" w:cs="Times New Roman"/>
      <w:sz w:val="20"/>
      <w:szCs w:val="20"/>
      <w:lang w:eastAsia="en-US"/>
    </w:rPr>
  </w:style>
  <w:style w:type="character" w:customStyle="1" w:styleId="MenuOption">
    <w:name w:val="Menu Option"/>
    <w:basedOn w:val="DefaultParagraphFont"/>
    <w:rsid w:val="000C7B31"/>
    <w:rPr>
      <w:b/>
      <w:smallCaps/>
    </w:rPr>
  </w:style>
  <w:style w:type="paragraph" w:customStyle="1" w:styleId="TableListNumber">
    <w:name w:val="Table List Number"/>
    <w:basedOn w:val="ListNumber"/>
    <w:rsid w:val="000C7B31"/>
    <w:pPr>
      <w:numPr>
        <w:numId w:val="0"/>
      </w:numPr>
    </w:pPr>
  </w:style>
  <w:style w:type="paragraph" w:styleId="TOC4">
    <w:name w:val="toc 4"/>
    <w:basedOn w:val="TOCBase"/>
    <w:next w:val="Normal"/>
    <w:semiHidden/>
    <w:rsid w:val="000C7B31"/>
    <w:pPr>
      <w:tabs>
        <w:tab w:val="right" w:leader="dot" w:pos="9071"/>
      </w:tabs>
      <w:ind w:left="1701"/>
    </w:pPr>
  </w:style>
  <w:style w:type="paragraph" w:customStyle="1" w:styleId="ListAlpha">
    <w:name w:val="List Alpha"/>
    <w:basedOn w:val="List"/>
    <w:rsid w:val="000C7B31"/>
    <w:pPr>
      <w:numPr>
        <w:numId w:val="9"/>
      </w:numPr>
    </w:pPr>
  </w:style>
  <w:style w:type="paragraph" w:customStyle="1" w:styleId="ListAlpha2">
    <w:name w:val="List Alpha 2"/>
    <w:basedOn w:val="List2"/>
    <w:rsid w:val="000C7B31"/>
    <w:pPr>
      <w:numPr>
        <w:numId w:val="8"/>
      </w:numPr>
    </w:pPr>
  </w:style>
  <w:style w:type="paragraph" w:styleId="List2">
    <w:name w:val="List 2"/>
    <w:basedOn w:val="BodyText"/>
    <w:rsid w:val="000C7B31"/>
    <w:pPr>
      <w:tabs>
        <w:tab w:val="left" w:pos="680"/>
      </w:tabs>
      <w:spacing w:before="60" w:after="60"/>
      <w:ind w:left="680" w:hanging="340"/>
    </w:pPr>
  </w:style>
  <w:style w:type="paragraph" w:styleId="List3">
    <w:name w:val="List 3"/>
    <w:basedOn w:val="BodyText"/>
    <w:rsid w:val="000C7B31"/>
    <w:pPr>
      <w:tabs>
        <w:tab w:val="left" w:pos="1021"/>
      </w:tabs>
      <w:spacing w:before="60" w:after="60"/>
      <w:ind w:left="1020" w:hanging="340"/>
    </w:pPr>
  </w:style>
  <w:style w:type="paragraph" w:styleId="List4">
    <w:name w:val="List 4"/>
    <w:basedOn w:val="BodyText"/>
    <w:rsid w:val="000C7B31"/>
    <w:pPr>
      <w:tabs>
        <w:tab w:val="left" w:pos="1361"/>
      </w:tabs>
      <w:spacing w:before="60" w:after="60"/>
      <w:ind w:left="1361" w:hanging="340"/>
    </w:pPr>
  </w:style>
  <w:style w:type="paragraph" w:styleId="List5">
    <w:name w:val="List 5"/>
    <w:basedOn w:val="BodyText"/>
    <w:rsid w:val="000C7B31"/>
    <w:pPr>
      <w:tabs>
        <w:tab w:val="left" w:pos="1701"/>
      </w:tabs>
      <w:spacing w:before="60" w:after="60"/>
      <w:ind w:left="1701" w:hanging="340"/>
    </w:pPr>
  </w:style>
  <w:style w:type="paragraph" w:styleId="ListBullet3">
    <w:name w:val="List Bullet 3"/>
    <w:basedOn w:val="List3"/>
    <w:rsid w:val="000C7B31"/>
    <w:pPr>
      <w:numPr>
        <w:numId w:val="14"/>
      </w:numPr>
      <w:tabs>
        <w:tab w:val="clear" w:pos="1021"/>
      </w:tabs>
      <w:ind w:left="1037" w:hanging="357"/>
    </w:pPr>
  </w:style>
  <w:style w:type="paragraph" w:styleId="ListBullet4">
    <w:name w:val="List Bullet 4"/>
    <w:basedOn w:val="List4"/>
    <w:rsid w:val="000C7B31"/>
    <w:pPr>
      <w:numPr>
        <w:numId w:val="3"/>
      </w:numPr>
      <w:tabs>
        <w:tab w:val="clear" w:pos="1361"/>
      </w:tabs>
    </w:pPr>
  </w:style>
  <w:style w:type="paragraph" w:styleId="ListBullet5">
    <w:name w:val="List Bullet 5"/>
    <w:basedOn w:val="List5"/>
    <w:rsid w:val="000C7B31"/>
    <w:pPr>
      <w:numPr>
        <w:numId w:val="4"/>
      </w:numPr>
    </w:pPr>
  </w:style>
  <w:style w:type="paragraph" w:styleId="ListContinue2">
    <w:name w:val="List Continue 2"/>
    <w:basedOn w:val="List2"/>
    <w:rsid w:val="000C7B31"/>
    <w:pPr>
      <w:ind w:firstLine="0"/>
    </w:pPr>
  </w:style>
  <w:style w:type="paragraph" w:styleId="ListContinue3">
    <w:name w:val="List Continue 3"/>
    <w:basedOn w:val="List3"/>
    <w:rsid w:val="000C7B31"/>
    <w:pPr>
      <w:ind w:left="1021" w:firstLine="0"/>
    </w:pPr>
  </w:style>
  <w:style w:type="paragraph" w:styleId="ListContinue4">
    <w:name w:val="List Continue 4"/>
    <w:basedOn w:val="List4"/>
    <w:rsid w:val="000C7B31"/>
    <w:pPr>
      <w:ind w:firstLine="0"/>
    </w:pPr>
  </w:style>
  <w:style w:type="paragraph" w:styleId="ListContinue5">
    <w:name w:val="List Continue 5"/>
    <w:basedOn w:val="List5"/>
    <w:rsid w:val="000C7B31"/>
    <w:pPr>
      <w:ind w:firstLine="0"/>
    </w:pPr>
  </w:style>
  <w:style w:type="paragraph" w:styleId="ListNumber3">
    <w:name w:val="List Number 3"/>
    <w:basedOn w:val="List3"/>
    <w:rsid w:val="000C7B31"/>
    <w:pPr>
      <w:numPr>
        <w:numId w:val="5"/>
      </w:numPr>
    </w:pPr>
  </w:style>
  <w:style w:type="paragraph" w:styleId="ListNumber4">
    <w:name w:val="List Number 4"/>
    <w:basedOn w:val="List4"/>
    <w:rsid w:val="000C7B31"/>
    <w:pPr>
      <w:numPr>
        <w:numId w:val="6"/>
      </w:numPr>
    </w:pPr>
  </w:style>
  <w:style w:type="paragraph" w:styleId="ListNumber5">
    <w:name w:val="List Number 5"/>
    <w:basedOn w:val="List5"/>
    <w:rsid w:val="000C7B31"/>
    <w:pPr>
      <w:numPr>
        <w:numId w:val="7"/>
      </w:numPr>
    </w:pPr>
  </w:style>
  <w:style w:type="paragraph" w:styleId="BlockText">
    <w:name w:val="Block Text"/>
    <w:basedOn w:val="Normal"/>
    <w:rsid w:val="000C7B31"/>
    <w:pPr>
      <w:spacing w:after="120"/>
      <w:ind w:left="1440" w:right="1440"/>
    </w:pPr>
  </w:style>
  <w:style w:type="character" w:customStyle="1" w:styleId="Subscript">
    <w:name w:val="Subscript"/>
    <w:basedOn w:val="DefaultParagraphFont"/>
    <w:rsid w:val="000C7B31"/>
    <w:rPr>
      <w:sz w:val="16"/>
      <w:vertAlign w:val="subscript"/>
    </w:rPr>
  </w:style>
  <w:style w:type="character" w:customStyle="1" w:styleId="Superscript">
    <w:name w:val="Superscript"/>
    <w:basedOn w:val="DefaultParagraphFont"/>
    <w:rsid w:val="000C7B31"/>
    <w:rPr>
      <w:sz w:val="16"/>
      <w:vertAlign w:val="superscript"/>
    </w:rPr>
  </w:style>
  <w:style w:type="character" w:customStyle="1" w:styleId="Symbols">
    <w:name w:val="Symbols"/>
    <w:basedOn w:val="DefaultParagraphFont"/>
    <w:rsid w:val="000C7B31"/>
    <w:rPr>
      <w:rFonts w:ascii="Symbol" w:hAnsi="Symbol"/>
    </w:rPr>
  </w:style>
  <w:style w:type="character" w:customStyle="1" w:styleId="MenuOptions">
    <w:name w:val="Menu Options"/>
    <w:basedOn w:val="DefaultParagraphFont"/>
    <w:rsid w:val="000C7B31"/>
    <w:rPr>
      <w:rFonts w:ascii="Arial Narrow" w:hAnsi="Arial Narrow"/>
      <w:smallCaps/>
    </w:rPr>
  </w:style>
  <w:style w:type="character" w:customStyle="1" w:styleId="Buttons">
    <w:name w:val="Buttons"/>
    <w:basedOn w:val="DefaultParagraphFont"/>
    <w:rsid w:val="000C7B31"/>
    <w:rPr>
      <w:b/>
    </w:rPr>
  </w:style>
  <w:style w:type="character" w:customStyle="1" w:styleId="Underlined">
    <w:name w:val="Underlined"/>
    <w:basedOn w:val="DefaultParagraphFont"/>
    <w:rsid w:val="000C7B31"/>
    <w:rPr>
      <w:u w:val="single"/>
    </w:rPr>
  </w:style>
  <w:style w:type="paragraph" w:customStyle="1" w:styleId="TableBodyTextRight">
    <w:name w:val="Table Body Text Right"/>
    <w:basedOn w:val="TableBodyText"/>
    <w:rsid w:val="000C7B31"/>
    <w:pPr>
      <w:widowControl w:val="0"/>
      <w:autoSpaceDE w:val="0"/>
      <w:autoSpaceDN w:val="0"/>
      <w:adjustRightInd w:val="0"/>
      <w:jc w:val="right"/>
    </w:pPr>
    <w:rPr>
      <w:rFonts w:cs="Arial"/>
      <w:szCs w:val="18"/>
    </w:rPr>
  </w:style>
  <w:style w:type="paragraph" w:customStyle="1" w:styleId="CopyrightText">
    <w:name w:val="Copyright Text"/>
    <w:basedOn w:val="BodyText"/>
    <w:rsid w:val="000C7B31"/>
    <w:rPr>
      <w:sz w:val="18"/>
    </w:rPr>
  </w:style>
  <w:style w:type="paragraph" w:customStyle="1" w:styleId="BodySmallRight">
    <w:name w:val="Body Small Right"/>
    <w:basedOn w:val="BodyTextRight"/>
    <w:rsid w:val="000C7B31"/>
    <w:rPr>
      <w:sz w:val="18"/>
      <w:szCs w:val="18"/>
    </w:rPr>
  </w:style>
  <w:style w:type="paragraph" w:customStyle="1" w:styleId="MarginEdition">
    <w:name w:val="Margin Edition"/>
    <w:basedOn w:val="MarginNote"/>
    <w:rsid w:val="000C7B31"/>
    <w:pPr>
      <w:spacing w:before="0" w:after="0"/>
    </w:pPr>
    <w:rPr>
      <w:rFonts w:ascii="Times New Roman" w:hAnsi="Times New Roman"/>
      <w:color w:val="999999"/>
    </w:rPr>
  </w:style>
  <w:style w:type="paragraph" w:customStyle="1" w:styleId="Spacer">
    <w:name w:val="Spacer"/>
    <w:basedOn w:val="Normal"/>
    <w:rsid w:val="000C7B31"/>
    <w:rPr>
      <w:sz w:val="2"/>
      <w:szCs w:val="2"/>
    </w:rPr>
  </w:style>
  <w:style w:type="character" w:customStyle="1" w:styleId="Small">
    <w:name w:val="Small"/>
    <w:basedOn w:val="DefaultParagraphFont"/>
    <w:rsid w:val="000C7B31"/>
    <w:rPr>
      <w:sz w:val="16"/>
    </w:rPr>
  </w:style>
  <w:style w:type="paragraph" w:customStyle="1" w:styleId="WideTable">
    <w:name w:val="Wide Table"/>
    <w:basedOn w:val="Normal"/>
    <w:rsid w:val="000C7B31"/>
    <w:pPr>
      <w:ind w:left="-1418"/>
    </w:pPr>
    <w:rPr>
      <w:sz w:val="2"/>
      <w:szCs w:val="2"/>
    </w:rPr>
  </w:style>
  <w:style w:type="character" w:styleId="PageNumber">
    <w:name w:val="page number"/>
    <w:basedOn w:val="DefaultParagraphFont"/>
    <w:rsid w:val="000C7B31"/>
  </w:style>
  <w:style w:type="paragraph" w:styleId="Quote">
    <w:name w:val="Quote"/>
    <w:basedOn w:val="Heading1"/>
    <w:link w:val="QuoteChar"/>
    <w:qFormat/>
    <w:rsid w:val="000C7B31"/>
    <w:rPr>
      <w:b w:val="0"/>
      <w:sz w:val="72"/>
      <w:szCs w:val="72"/>
      <w:lang w:val="en-NZ"/>
    </w:rPr>
  </w:style>
  <w:style w:type="character" w:customStyle="1" w:styleId="QuoteChar">
    <w:name w:val="Quote Char"/>
    <w:basedOn w:val="DefaultParagraphFont"/>
    <w:link w:val="Quote"/>
    <w:rsid w:val="000C7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B31"/>
    <w:pPr>
      <w:pageBreakBefore/>
    </w:pPr>
  </w:style>
  <w:style w:type="paragraph" w:customStyle="1" w:styleId="Border">
    <w:name w:val="Border"/>
    <w:basedOn w:val="Normal"/>
    <w:qFormat/>
    <w:rsid w:val="000C7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B31"/>
    <w:rPr>
      <w:b/>
      <w:bCs/>
      <w:i/>
      <w:iCs/>
      <w:color w:val="auto"/>
    </w:rPr>
  </w:style>
  <w:style w:type="paragraph" w:styleId="IntenseQuote">
    <w:name w:val="Intense Quote"/>
    <w:basedOn w:val="Normal"/>
    <w:next w:val="Normal"/>
    <w:link w:val="IntenseQuoteChar"/>
    <w:uiPriority w:val="30"/>
    <w:qFormat/>
    <w:rsid w:val="000C7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B31"/>
    <w:rPr>
      <w:smallCaps/>
      <w:color w:val="auto"/>
      <w:u w:val="single"/>
    </w:rPr>
  </w:style>
  <w:style w:type="character" w:styleId="IntenseReference">
    <w:name w:val="Intense Reference"/>
    <w:basedOn w:val="DefaultParagraphFont"/>
    <w:uiPriority w:val="32"/>
    <w:qFormat/>
    <w:rsid w:val="000C7B31"/>
    <w:rPr>
      <w:b/>
      <w:bCs/>
      <w:smallCaps/>
      <w:color w:val="auto"/>
      <w:spacing w:val="5"/>
      <w:u w:val="single"/>
    </w:rPr>
  </w:style>
  <w:style w:type="paragraph" w:customStyle="1" w:styleId="2ColumnHeading">
    <w:name w:val="2Column Heading"/>
    <w:basedOn w:val="BodyText"/>
    <w:qFormat/>
    <w:rsid w:val="000C7B31"/>
    <w:pPr>
      <w:spacing w:after="60"/>
      <w:ind w:left="-2268"/>
    </w:pPr>
    <w:rPr>
      <w:b/>
    </w:rPr>
  </w:style>
  <w:style w:type="paragraph" w:customStyle="1" w:styleId="Heading1TOC">
    <w:name w:val="Heading1 TOC"/>
    <w:basedOn w:val="Normal"/>
    <w:qFormat/>
    <w:rsid w:val="000C7B31"/>
    <w:pPr>
      <w:spacing w:before="240" w:after="120"/>
    </w:pPr>
    <w:rPr>
      <w:rFonts w:ascii="Times New Roman" w:hAnsi="Times New Roman"/>
      <w:b/>
      <w:sz w:val="32"/>
    </w:rPr>
  </w:style>
  <w:style w:type="paragraph" w:customStyle="1" w:styleId="Heading2TOC">
    <w:name w:val="Heading2 TOC"/>
    <w:basedOn w:val="Normal"/>
    <w:qFormat/>
    <w:rsid w:val="000C7B31"/>
    <w:pPr>
      <w:spacing w:before="240" w:after="60"/>
    </w:pPr>
    <w:rPr>
      <w:rFonts w:ascii="Times New Roman" w:hAnsi="Times New Roman"/>
      <w:b/>
      <w:sz w:val="28"/>
    </w:rPr>
  </w:style>
  <w:style w:type="character" w:customStyle="1" w:styleId="Underline">
    <w:name w:val="Underline"/>
    <w:basedOn w:val="DefaultParagraphFont"/>
    <w:qFormat/>
    <w:rsid w:val="000C7B31"/>
    <w:rPr>
      <w:u w:val="single"/>
    </w:rPr>
  </w:style>
  <w:style w:type="character" w:customStyle="1" w:styleId="BoldandItalics">
    <w:name w:val="Bold and Italics"/>
    <w:qFormat/>
    <w:rsid w:val="000C7B31"/>
    <w:rPr>
      <w:b/>
      <w:i/>
      <w:u w:val="none"/>
    </w:rPr>
  </w:style>
  <w:style w:type="paragraph" w:styleId="BalloonText">
    <w:name w:val="Balloon Text"/>
    <w:basedOn w:val="Normal"/>
    <w:link w:val="BalloonTextChar"/>
    <w:rsid w:val="000C7B31"/>
    <w:rPr>
      <w:rFonts w:ascii="Tahoma" w:hAnsi="Tahoma" w:cs="Tahoma"/>
      <w:sz w:val="16"/>
      <w:szCs w:val="16"/>
    </w:rPr>
  </w:style>
  <w:style w:type="character" w:customStyle="1" w:styleId="BalloonTextChar">
    <w:name w:val="Balloon Text Char"/>
    <w:basedOn w:val="DefaultParagraphFont"/>
    <w:link w:val="BalloonText"/>
    <w:rsid w:val="000C7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B31"/>
    <w:rPr>
      <w:b/>
      <w:color w:val="660033"/>
      <w:spacing w:val="0"/>
    </w:rPr>
  </w:style>
  <w:style w:type="paragraph" w:customStyle="1" w:styleId="Nameditemlist">
    <w:name w:val="Named item list"/>
    <w:basedOn w:val="BodyText"/>
    <w:qFormat/>
    <w:rsid w:val="000C7B31"/>
    <w:pPr>
      <w:tabs>
        <w:tab w:val="left" w:pos="2835"/>
      </w:tabs>
      <w:ind w:left="2835" w:hanging="2835"/>
    </w:pPr>
  </w:style>
  <w:style w:type="paragraph" w:customStyle="1" w:styleId="BodyTextnopadding">
    <w:name w:val="Body Text no padding"/>
    <w:basedOn w:val="BodyText"/>
    <w:qFormat/>
    <w:rsid w:val="000C7B31"/>
    <w:pPr>
      <w:spacing w:before="0" w:after="0"/>
    </w:pPr>
  </w:style>
  <w:style w:type="paragraph" w:customStyle="1" w:styleId="BodyTextBold">
    <w:name w:val="Body Text Bold"/>
    <w:basedOn w:val="BodyText"/>
    <w:qFormat/>
    <w:rsid w:val="000C7B31"/>
    <w:rPr>
      <w:b/>
    </w:rPr>
  </w:style>
  <w:style w:type="character" w:styleId="Hyperlink">
    <w:name w:val="Hyperlink"/>
    <w:basedOn w:val="DefaultParagraphFont"/>
    <w:uiPriority w:val="99"/>
    <w:unhideWhenUsed/>
    <w:rsid w:val="00B309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5482</Characters>
  <Application>Microsoft Office Word</Application>
  <DocSecurity>0</DocSecurity>
  <Lines>156</Lines>
  <Paragraphs>109</Paragraphs>
  <ScaleCrop>false</ScaleCrop>
  <Company>Author-it Software Corporation Ltd.</Company>
  <LinksUpToDate>false</LinksUpToDate>
  <CharactersWithSpaces>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ICPCBF3910 Use electronic monitoring systems (converting and finishing)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