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291" w:rsidP="00003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ICPCBF3690 Set up and produce hand-made box</w:t>
      </w:r>
      <w:r>
        <w:fldChar w:fldCharType="end"/>
      </w:r>
    </w:p>
    <w:p w:rsidR="00003291" w:rsidP="00003291">
      <w:pPr>
        <w:pStyle w:val="Version"/>
        <w:sectPr w:rsidSect="00A22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6C4" w:rsidP="00A226C4">
      <w:pPr>
        <w:pStyle w:val="SuperHeading"/>
      </w:pPr>
      <w:r w:rsidRPr="00A226C4">
        <w:t>ICPCBF3690 Set up and produce hand-made box</w:t>
      </w:r>
    </w:p>
    <w:p w:rsidR="00000000" w:rsidRPr="00A226C4" w:rsidP="00A226C4">
      <w:pPr>
        <w:pStyle w:val="Heading1"/>
      </w:pPr>
      <w:bookmarkStart w:id="1" w:name="O_1074051"/>
      <w:bookmarkEnd w:id="1"/>
      <w:r w:rsidRPr="00A22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22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rPr>
                <w:rStyle w:val="SpecialBold"/>
              </w:rPr>
              <w:t>Comments</w:t>
            </w:r>
          </w:p>
        </w:tc>
      </w:tr>
      <w:tr w:rsidTr="00A22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>This version first released with ICP Printing and Graphic Arts Training Package Version 4.0.</w:t>
            </w:r>
          </w:p>
        </w:tc>
      </w:tr>
    </w:tbl>
    <w:p w:rsidR="00000000" w:rsidRPr="00A226C4" w:rsidP="00A226C4">
      <w:pPr>
        <w:pStyle w:val="BodyText"/>
      </w:pP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2" w:name="O_1074057"/>
      <w:bookmarkEnd w:id="2"/>
      <w:r w:rsidRPr="00A226C4">
        <w:t>Application</w:t>
      </w:r>
    </w:p>
    <w:p w:rsidR="00000000" w:rsidRPr="00A226C4" w:rsidP="00003291">
      <w:pPr>
        <w:pStyle w:val="BodyText"/>
      </w:pPr>
      <w:r w:rsidRPr="00A226C4">
        <w:t>This unit describes the skills and knowledge required to set up and prod</w:t>
      </w:r>
      <w:r w:rsidRPr="00A226C4">
        <w:t xml:space="preserve">uce a hand-made box. It applies to the binding and finishing sector. </w:t>
      </w:r>
    </w:p>
    <w:p w:rsidR="00000000" w:rsidRPr="00A226C4" w:rsidP="00003291">
      <w:pPr>
        <w:pStyle w:val="BodyText"/>
      </w:pPr>
      <w:r w:rsidRPr="00A226C4">
        <w:t>It applies to individuals who prepare material, monitor and run equipment and machinery, and apply solutions to a defined range of unpredictable problems. They may also provide leadershi</w:t>
      </w:r>
      <w:r w:rsidRPr="00A226C4">
        <w:t>p and guidance to others with some limited responsibility for the output of others.</w:t>
      </w:r>
    </w:p>
    <w:p w:rsidR="00000000" w:rsidRPr="00A226C4" w:rsidP="00003291">
      <w:pPr>
        <w:pStyle w:val="BodyText"/>
      </w:pPr>
      <w:r w:rsidRPr="00A226C4">
        <w:t>No licensing, legislative or certification requirements apply to this unit at the time of publication.</w:t>
      </w:r>
    </w:p>
    <w:p w:rsidR="00000000" w:rsidRPr="00A226C4" w:rsidP="00A226C4">
      <w:pPr>
        <w:pStyle w:val="Heading1"/>
      </w:pPr>
      <w:bookmarkStart w:id="3" w:name="O_1074056"/>
      <w:bookmarkEnd w:id="3"/>
      <w:r w:rsidRPr="00A226C4">
        <w:t>Unit Sector</w:t>
      </w:r>
    </w:p>
    <w:p w:rsidR="00000000" w:rsidRPr="00A226C4" w:rsidP="00003291">
      <w:pPr>
        <w:pStyle w:val="BodyText"/>
      </w:pPr>
      <w:r w:rsidRPr="00A226C4">
        <w:t>Converting, Binding and Finishing</w:t>
      </w:r>
    </w:p>
    <w:p w:rsidR="00000000" w:rsidRPr="00A226C4" w:rsidP="00A226C4">
      <w:pPr>
        <w:pStyle w:val="Heading1"/>
      </w:pPr>
      <w:bookmarkStart w:id="4" w:name="O_1074055"/>
      <w:bookmarkEnd w:id="4"/>
      <w:r w:rsidRPr="00A226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rPr>
                <w:rStyle w:val="SpecialBold"/>
              </w:rPr>
              <w:t>PERFORMANCE CRITERIA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1. Determine dimensions and style of box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 xml:space="preserve">1.1 Communicate with client and identify job requirements  </w:t>
            </w:r>
          </w:p>
          <w:p w:rsidR="00000000" w:rsidRPr="00A226C4" w:rsidP="00A226C4">
            <w:pPr>
              <w:pStyle w:val="BodyText"/>
            </w:pPr>
            <w:r w:rsidRPr="00A226C4">
              <w:t xml:space="preserve">1.2 Determine dimensions of article to be contained </w:t>
            </w:r>
          </w:p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1.3 Select dimensions and style of box according to client requirements 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2. Select materials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 xml:space="preserve">2.1 Select board weight, covering and lining materials </w:t>
            </w:r>
          </w:p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2.2 Determine grain direction as required  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3. Prepare box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>3.1 Cut board, cover material and lining to according to required size and work health and safety (WHS) requirements</w:t>
            </w:r>
          </w:p>
          <w:p w:rsidR="00000000" w:rsidRPr="00A226C4" w:rsidP="00A226C4">
            <w:pPr>
              <w:pStyle w:val="BodyText"/>
            </w:pPr>
            <w:r w:rsidRPr="00A226C4">
              <w:t>3.2 Score board to requ</w:t>
            </w:r>
            <w:r w:rsidRPr="00A226C4">
              <w:t xml:space="preserve">ired depth </w:t>
            </w:r>
          </w:p>
          <w:p w:rsidR="00000000" w:rsidRPr="00A226C4" w:rsidP="00A226C4">
            <w:pPr>
              <w:pStyle w:val="BodyText"/>
            </w:pPr>
            <w:r w:rsidRPr="00A226C4">
              <w:t>3.3 Fit lids as required, according to thickness of covering material</w:t>
            </w:r>
          </w:p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3.4 Assemble box according to job specifications  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4. Attach covering material and lining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 xml:space="preserve">4.1 Cut corners according to job specifications </w:t>
            </w:r>
          </w:p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4.2 Fix covering material and lini</w:t>
            </w:r>
            <w:r w:rsidRPr="00A226C4">
              <w:t xml:space="preserve">ng 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5. Press box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 xml:space="preserve">5.1 Prepare block for pressing </w:t>
            </w:r>
          </w:p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5.2 Apply pressure to box sections to press box </w:t>
            </w:r>
          </w:p>
        </w:tc>
      </w:tr>
      <w:tr w:rsidTr="00A226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6. Decorate or furnish box if required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 xml:space="preserve">6.1 Apply decorating techniques as required according to job specifications </w:t>
            </w:r>
          </w:p>
          <w:p w:rsidR="00000000" w:rsidRPr="00A226C4" w:rsidP="00A226C4">
            <w:pPr>
              <w:pStyle w:val="BodyText"/>
            </w:pPr>
            <w:r w:rsidRPr="00A226C4">
              <w:t xml:space="preserve">6.2 Attach furnishings as required  </w:t>
            </w:r>
          </w:p>
        </w:tc>
      </w:tr>
    </w:tbl>
    <w:p w:rsidR="00000000" w:rsidRPr="00A226C4" w:rsidP="00A226C4">
      <w:pPr>
        <w:pStyle w:val="BodyText"/>
      </w:pP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5" w:name="O_1074054"/>
      <w:bookmarkEnd w:id="5"/>
      <w:r w:rsidRPr="00A226C4">
        <w:t>Foundation Skills</w:t>
      </w:r>
    </w:p>
    <w:p w:rsidR="00000000" w:rsidRPr="00003291" w:rsidP="00003291">
      <w:pPr>
        <w:pStyle w:val="BodyText"/>
        <w:rPr>
          <w:i/>
        </w:rPr>
      </w:pPr>
      <w:r w:rsidRPr="000032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A226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rPr>
                <w:rStyle w:val="SpecialBold"/>
              </w:rPr>
              <w:t>Description</w:t>
            </w:r>
          </w:p>
        </w:tc>
      </w:tr>
      <w:tr w:rsidTr="00A226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Numeracy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ListBullet"/>
              <w:rPr>
                <w:lang w:val="en-NZ"/>
              </w:rPr>
            </w:pPr>
            <w:r w:rsidRPr="00A226C4">
              <w:t>Selects from and uses a variety</w:t>
            </w:r>
            <w:r w:rsidRPr="00A226C4">
              <w:t xml:space="preserve"> of mathematical and problem-solving strategies in a range of familiar contexts</w:t>
            </w:r>
          </w:p>
        </w:tc>
      </w:tr>
      <w:tr w:rsidTr="00A226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Self-management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ListBullet"/>
              <w:rPr>
                <w:lang w:val="en-NZ"/>
              </w:rPr>
            </w:pPr>
            <w:r w:rsidRPr="00A226C4">
              <w:t>Implements actions according to instructions making slight adjustments if necessary</w:t>
            </w:r>
          </w:p>
        </w:tc>
      </w:tr>
      <w:tr w:rsidTr="00A226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Teamwork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ListBullet"/>
              <w:rPr>
                <w:lang w:val="en-NZ"/>
              </w:rPr>
            </w:pPr>
            <w:r w:rsidRPr="00A226C4">
              <w:t>Identifies what to communicate, with whom and how, in routine work situations</w:t>
            </w:r>
          </w:p>
        </w:tc>
      </w:tr>
      <w:tr w:rsidTr="00A226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ListBullet"/>
            </w:pPr>
            <w:r w:rsidRPr="00A226C4">
              <w:t xml:space="preserve">Determines priorities and sequences steps involved in clearly defined, familiar tasks </w:t>
            </w:r>
          </w:p>
          <w:p w:rsidR="00000000" w:rsidRPr="00A226C4" w:rsidP="00A226C4">
            <w:pPr>
              <w:pStyle w:val="ListBullet"/>
            </w:pPr>
            <w:r w:rsidRPr="00A226C4">
              <w:t>Plans, identifies and assembles resources required to complete t</w:t>
            </w:r>
            <w:r w:rsidRPr="00A226C4">
              <w:t>asks</w:t>
            </w:r>
          </w:p>
        </w:tc>
      </w:tr>
    </w:tbl>
    <w:p w:rsidR="00000000" w:rsidRPr="00A226C4" w:rsidP="00A226C4">
      <w:pPr>
        <w:pStyle w:val="BodyText"/>
      </w:pP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6" w:name="O_1074053"/>
      <w:bookmarkEnd w:id="6"/>
      <w:r w:rsidRPr="00A226C4">
        <w:t>Range of Conditions</w:t>
      </w:r>
    </w:p>
    <w:p w:rsidR="00000000" w:rsidRPr="00003291" w:rsidP="00003291">
      <w:pPr>
        <w:pStyle w:val="BodyText"/>
        <w:rPr>
          <w:i/>
        </w:rPr>
      </w:pPr>
      <w:r w:rsidRPr="00003291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</w:t>
      </w:r>
      <w:r w:rsidRPr="00003291">
        <w:rPr>
          <w:rStyle w:val="Emphasis"/>
        </w:rPr>
        <w:t xml:space="preserve">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8"/>
        <w:gridCol w:w="5526"/>
      </w:tblGrid>
      <w:tr w:rsidTr="00A22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>Box assembly must include either:</w:t>
            </w:r>
          </w:p>
          <w:p w:rsidR="00000000" w:rsidP="00A226C4">
            <w:pPr>
              <w:pStyle w:val="BodyText"/>
              <w:rPr>
                <w:lang w:val="en-NZ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ListBullet"/>
            </w:pPr>
            <w:r w:rsidRPr="00A226C4">
              <w:t>Folding and scoring corners with straight folds at correct angles and securing with reinforcing material as required</w:t>
            </w:r>
          </w:p>
          <w:p w:rsidR="00000000" w:rsidRPr="00A226C4" w:rsidP="00A226C4">
            <w:pPr>
              <w:pStyle w:val="BodyText"/>
            </w:pPr>
            <w:r w:rsidRPr="00A226C4">
              <w:t>or</w:t>
            </w:r>
          </w:p>
          <w:p w:rsidR="00000000" w:rsidRPr="00A226C4" w:rsidP="00A226C4">
            <w:pPr>
              <w:pStyle w:val="ListBullet"/>
            </w:pPr>
            <w:r w:rsidRPr="00A226C4">
              <w:t>Gluing and butt join with walls set at correct angles to base and making flush joints with adequate adhesion.</w:t>
            </w:r>
          </w:p>
        </w:tc>
      </w:tr>
    </w:tbl>
    <w:p w:rsidR="00000000" w:rsidRPr="00A226C4" w:rsidP="00A226C4">
      <w:pPr>
        <w:pStyle w:val="BodyText"/>
      </w:pP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7" w:name="O_1074052"/>
      <w:bookmarkEnd w:id="7"/>
      <w:r w:rsidRPr="00A226C4">
        <w:t>Unit Mapping Information</w:t>
      </w:r>
    </w:p>
    <w:p w:rsidR="00000000" w:rsidRPr="00A226C4" w:rsidP="00003291">
      <w:pPr>
        <w:pStyle w:val="BodyText"/>
      </w:pPr>
      <w:r w:rsidRPr="00A226C4">
        <w:t>Supersedes and is equivalent to ICPCBF369 Set up and produce hand-made box.</w:t>
      </w:r>
    </w:p>
    <w:p w:rsidR="00000000" w:rsidRPr="00A226C4" w:rsidP="00A226C4">
      <w:pPr>
        <w:pStyle w:val="Heading1"/>
      </w:pPr>
      <w:bookmarkStart w:id="8" w:name="O_1074045"/>
      <w:bookmarkEnd w:id="8"/>
      <w:r w:rsidRPr="00A226C4">
        <w:t>Links</w:t>
      </w:r>
    </w:p>
    <w:p w:rsidR="00000000" w:rsidRPr="00A226C4" w:rsidP="00003291">
      <w:pPr>
        <w:pStyle w:val="BodyText"/>
      </w:pPr>
      <w:r w:rsidRPr="00A226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A1A9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226C4" w:rsidP="00003291">
      <w:pPr>
        <w:pStyle w:val="BodyText"/>
        <w:sectPr w:rsidSect="00A226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6C4" w:rsidP="00A226C4">
      <w:pPr>
        <w:pStyle w:val="SuperHeading"/>
      </w:pPr>
      <w:r w:rsidRPr="00A226C4">
        <w:t xml:space="preserve">Assessment </w:t>
      </w:r>
      <w:r w:rsidRPr="00A226C4">
        <w:t>Requirements for ICPCBF3690 Set up and produce hand-made box</w:t>
      </w:r>
    </w:p>
    <w:p w:rsidR="00000000" w:rsidRPr="00A226C4" w:rsidP="00A226C4">
      <w:pPr>
        <w:pStyle w:val="Heading1"/>
      </w:pPr>
      <w:bookmarkStart w:id="9" w:name="O_1074047"/>
      <w:bookmarkEnd w:id="9"/>
      <w:r w:rsidRPr="00A22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22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rPr>
                <w:rStyle w:val="SpecialBold"/>
              </w:rPr>
              <w:t>Comments</w:t>
            </w:r>
          </w:p>
        </w:tc>
      </w:tr>
      <w:tr w:rsidTr="00A22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6C4">
            <w:pPr>
              <w:pStyle w:val="BodyText"/>
              <w:rPr>
                <w:lang w:val="en-NZ"/>
              </w:rPr>
            </w:pPr>
            <w:r w:rsidRPr="00A226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6C4" w:rsidP="00A226C4">
            <w:pPr>
              <w:pStyle w:val="BodyText"/>
            </w:pPr>
            <w:r w:rsidRPr="00A226C4">
              <w:t>This version first released with ICP Printing and Graphic Arts Training Package Version 4.0.</w:t>
            </w:r>
          </w:p>
        </w:tc>
      </w:tr>
    </w:tbl>
    <w:p w:rsidR="00000000" w:rsidRPr="00A226C4" w:rsidP="00A226C4">
      <w:pPr>
        <w:pStyle w:val="BodyText"/>
      </w:pP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10" w:name="O_1074050"/>
      <w:bookmarkEnd w:id="10"/>
      <w:r w:rsidRPr="00A226C4">
        <w:t>Performance Evidence</w:t>
      </w:r>
    </w:p>
    <w:p w:rsidR="00000000" w:rsidRPr="00A226C4" w:rsidP="00003291">
      <w:pPr>
        <w:pStyle w:val="BodyText"/>
      </w:pPr>
      <w:r w:rsidRPr="00A226C4">
        <w:t>The candidate must demonstrate the ability to complete the tasks outlined in the elements, performance criteria and foundation skills of this unit, including evidence of the ability to:</w:t>
      </w:r>
    </w:p>
    <w:p w:rsidR="00000000" w:rsidRPr="00A226C4" w:rsidP="00A226C4">
      <w:pPr>
        <w:pStyle w:val="ListBullet"/>
      </w:pPr>
      <w:r w:rsidRPr="00A226C4">
        <w:t>produce two boxes in different styles and materi</w:t>
      </w:r>
      <w:r w:rsidRPr="00A226C4">
        <w:t>als, at least one of which must have a lid, according to manufacturer and job specifications and enterprise procedures.</w:t>
      </w: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11" w:name="O_1074049"/>
      <w:bookmarkEnd w:id="11"/>
      <w:r w:rsidRPr="00A226C4">
        <w:t>Knowledge Evidence</w:t>
      </w:r>
    </w:p>
    <w:p w:rsidR="00000000" w:rsidRPr="00A226C4" w:rsidP="00003291">
      <w:pPr>
        <w:pStyle w:val="BodyText"/>
      </w:pPr>
      <w:r w:rsidRPr="00A226C4">
        <w:t>The candidate must be able to demonstrate knowledge to complete the tasks outli</w:t>
      </w:r>
      <w:r w:rsidRPr="00A226C4">
        <w:t>ned in the elements, performance criteria and foundation skills of this unit, including knowledge of:</w:t>
      </w:r>
    </w:p>
    <w:p w:rsidR="00000000" w:rsidRPr="00A226C4" w:rsidP="00A226C4">
      <w:pPr>
        <w:pStyle w:val="ListBullet"/>
      </w:pPr>
      <w:r w:rsidRPr="00A226C4">
        <w:t>work health and safety (WHS) risks and requirements for:</w:t>
      </w:r>
    </w:p>
    <w:p w:rsidR="00000000" w:rsidRPr="00A226C4" w:rsidP="00A226C4">
      <w:pPr>
        <w:pStyle w:val="ListBullet2"/>
      </w:pPr>
      <w:r w:rsidRPr="00A226C4">
        <w:t>handling blades</w:t>
      </w:r>
    </w:p>
    <w:p w:rsidR="00000000" w:rsidRPr="00A226C4" w:rsidP="00A226C4">
      <w:pPr>
        <w:pStyle w:val="ListBullet2"/>
      </w:pPr>
      <w:r w:rsidRPr="00A226C4">
        <w:t>handling and disposing waste</w:t>
      </w:r>
    </w:p>
    <w:p w:rsidR="00000000" w:rsidRPr="00A226C4" w:rsidP="00A226C4">
      <w:pPr>
        <w:pStyle w:val="ListBullet"/>
      </w:pPr>
      <w:r w:rsidRPr="00A226C4">
        <w:t>the required board calliper for a specific box</w:t>
      </w:r>
    </w:p>
    <w:p w:rsidR="00000000" w:rsidRPr="00A226C4" w:rsidP="00A226C4">
      <w:pPr>
        <w:pStyle w:val="ListBullet"/>
      </w:pPr>
      <w:r w:rsidRPr="00A226C4">
        <w:t>th</w:t>
      </w:r>
      <w:r w:rsidRPr="00A226C4">
        <w:t>e maximum calliper for a folded box</w:t>
      </w:r>
    </w:p>
    <w:p w:rsidR="00000000" w:rsidRPr="00A226C4" w:rsidP="00A226C4">
      <w:pPr>
        <w:pStyle w:val="ListBullet"/>
      </w:pPr>
      <w:r w:rsidRPr="00A226C4">
        <w:t>the procedure for making inconspicuous corner reinforcements</w:t>
      </w:r>
    </w:p>
    <w:p w:rsidR="00000000" w:rsidRPr="00A226C4" w:rsidP="00A226C4">
      <w:pPr>
        <w:pStyle w:val="ListBullet"/>
      </w:pPr>
      <w:r w:rsidRPr="00A226C4">
        <w:t>selection criteria for the required covering material and style</w:t>
      </w:r>
    </w:p>
    <w:p w:rsidR="00000000" w:rsidRPr="00A226C4" w:rsidP="00A226C4">
      <w:pPr>
        <w:pStyle w:val="ListBullet"/>
      </w:pPr>
      <w:r w:rsidRPr="00A226C4">
        <w:t>the required allowances in a book box</w:t>
      </w:r>
    </w:p>
    <w:p w:rsidR="00000000" w:rsidRPr="00A226C4" w:rsidP="00A226C4">
      <w:pPr>
        <w:pStyle w:val="ListBullet"/>
      </w:pPr>
      <w:r w:rsidRPr="00A226C4">
        <w:t>techniques to reduce scuffing of a book cover in slip cas</w:t>
      </w:r>
      <w:r w:rsidRPr="00A226C4">
        <w:t>es</w:t>
      </w:r>
    </w:p>
    <w:p w:rsidR="00000000" w:rsidRPr="00A226C4" w:rsidP="00A226C4">
      <w:pPr>
        <w:pStyle w:val="ListBullet"/>
      </w:pPr>
      <w:r w:rsidRPr="00A226C4">
        <w:t>techniques to reduce corner bulk when using heavyweight board</w:t>
      </w:r>
    </w:p>
    <w:p w:rsidR="00000000" w:rsidRPr="00A226C4" w:rsidP="00A226C4">
      <w:pPr>
        <w:pStyle w:val="ListBullet"/>
      </w:pPr>
      <w:r w:rsidRPr="00A226C4">
        <w:t>techniques used when cutting turn-ins for a rounded spine</w:t>
      </w:r>
    </w:p>
    <w:p w:rsidR="00000000" w:rsidRPr="00A226C4" w:rsidP="00A226C4">
      <w:pPr>
        <w:pStyle w:val="ListBullet"/>
      </w:pPr>
      <w:r w:rsidRPr="00A226C4">
        <w:t>the reasons for covering the edge of a board before attaching the main covering</w:t>
      </w:r>
    </w:p>
    <w:p w:rsidR="00000000" w:rsidRPr="00A226C4" w:rsidP="00A226C4">
      <w:pPr>
        <w:pStyle w:val="ListBullet"/>
      </w:pPr>
      <w:r w:rsidRPr="00A226C4">
        <w:t>the consequences of adhesives being either too thick or too thin</w:t>
      </w:r>
    </w:p>
    <w:p w:rsidR="00000000" w:rsidRPr="00A226C4" w:rsidP="00A226C4">
      <w:pPr>
        <w:pStyle w:val="ListBullet"/>
      </w:pPr>
      <w:r w:rsidRPr="00A226C4">
        <w:t>the effect open time of an adhesive has on the covering process</w:t>
      </w:r>
    </w:p>
    <w:p w:rsidR="00000000" w:rsidRPr="00A226C4" w:rsidP="00A226C4">
      <w:pPr>
        <w:pStyle w:val="ListBullet"/>
      </w:pPr>
      <w:r w:rsidRPr="00A226C4">
        <w:t>evaluation criteria for a finished box to ensure a clean finished job</w:t>
      </w:r>
    </w:p>
    <w:p w:rsidR="00000000" w:rsidRPr="00A226C4" w:rsidP="00A226C4">
      <w:pPr>
        <w:pStyle w:val="ListBullet"/>
      </w:pPr>
      <w:r w:rsidRPr="00A226C4">
        <w:t>manufacturer manuals, enterprise procedures and work heal</w:t>
      </w:r>
      <w:r w:rsidRPr="00A226C4">
        <w:t>th and safety documentation, including their location and purpose.</w:t>
      </w:r>
    </w:p>
    <w:p w:rsidR="00000000" w:rsidRPr="00A226C4" w:rsidP="00A226C4">
      <w:pPr>
        <w:pStyle w:val="AllowPageBreak"/>
      </w:pPr>
    </w:p>
    <w:p w:rsidR="00000000" w:rsidRPr="00A226C4" w:rsidP="00A226C4">
      <w:pPr>
        <w:pStyle w:val="Heading1"/>
      </w:pPr>
      <w:bookmarkStart w:id="12" w:name="O_1074048"/>
      <w:bookmarkEnd w:id="12"/>
      <w:r w:rsidRPr="00A226C4">
        <w:t>Assessment Conditions</w:t>
      </w:r>
    </w:p>
    <w:p w:rsidR="00000000" w:rsidRPr="00A226C4" w:rsidP="00003291">
      <w:pPr>
        <w:pStyle w:val="BodyText"/>
      </w:pPr>
      <w:r w:rsidRPr="00A226C4">
        <w:t>Gather evidence to demonstrate consistent performance in conditions that are safe and replicate the workplace. Noise levels, production flow, interr</w:t>
      </w:r>
      <w:r w:rsidRPr="00A226C4">
        <w:t>uptions and time variances must be typical of those experienced in the converting, binding and finishing field of work and include access to:</w:t>
      </w:r>
    </w:p>
    <w:p w:rsidR="00000000" w:rsidRPr="00A226C4" w:rsidP="00A226C4">
      <w:pPr>
        <w:pStyle w:val="ListBullet2"/>
      </w:pPr>
      <w:r w:rsidRPr="00A226C4">
        <w:t>materials used to produce a hand-made box.</w:t>
      </w:r>
    </w:p>
    <w:p w:rsidR="00000000" w:rsidRPr="00A226C4" w:rsidP="00003291">
      <w:pPr>
        <w:pStyle w:val="BodyText"/>
      </w:pPr>
      <w:r w:rsidRPr="00A226C4">
        <w:t xml:space="preserve">Assessors of this unit must satisfy the requirements for assessors in </w:t>
      </w:r>
      <w:r w:rsidRPr="00A226C4">
        <w:t>applicable vocational education and training legislation, frameworks and/or standards.</w:t>
      </w:r>
    </w:p>
    <w:p w:rsidR="00000000" w:rsidRPr="00A226C4" w:rsidP="00A226C4">
      <w:pPr>
        <w:pStyle w:val="Heading1"/>
      </w:pPr>
      <w:bookmarkStart w:id="13" w:name="O_1074046"/>
      <w:bookmarkEnd w:id="13"/>
      <w:r w:rsidRPr="00A226C4">
        <w:t>Links</w:t>
      </w:r>
    </w:p>
    <w:p w:rsidR="00000000" w:rsidRPr="00A226C4" w:rsidP="00003291">
      <w:pPr>
        <w:pStyle w:val="BodyText"/>
      </w:pPr>
      <w:r w:rsidRPr="00A226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A1A9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226C4" w:rsidP="00A226C4"/>
    <w:sectPr w:rsidSect="00A226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 w:rsidRPr="00003291" w:rsidP="00003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91" w:rsidP="00A22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291" w:rsidP="00A22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3291" w:rsidP="00A226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 w:rsidP="00A22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291">
      <w:t>Approved</w:t>
    </w:r>
    <w:r w:rsidR="000032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2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291">
      <w:rPr>
        <w:noProof/>
      </w:rPr>
      <w:t>4</w:t>
    </w:r>
    <w:r>
      <w:rPr>
        <w:noProof/>
      </w:rPr>
      <w:fldChar w:fldCharType="end"/>
    </w:r>
  </w:p>
  <w:p w:rsidR="00A226C4" w:rsidP="00A22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2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291">
      <w:t>Manufacturing Industry Skills Alliance</w:t>
    </w:r>
    <w:r w:rsidR="00003291">
      <w:fldChar w:fldCharType="end"/>
    </w:r>
  </w:p>
  <w:p w:rsidR="00A226C4" w:rsidP="00A22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6C4" w:rsidRPr="00003291" w:rsidP="00003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91" w:rsidRPr="002D2AF8" w:rsidP="00A22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ICPCBF3690 Set up and produce hand-made box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3291" w:rsidP="00A226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C4" w:rsidRPr="002D2AF8" w:rsidP="00A22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291">
      <w:t>ICPCBF3690 Set up and produce hand-made box</w:t>
    </w:r>
    <w:r w:rsidR="000032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291">
      <w:rPr>
        <w:noProof/>
      </w:rPr>
      <w:t>2 March 2025</w:t>
    </w:r>
    <w:r>
      <w:fldChar w:fldCharType="end"/>
    </w:r>
  </w:p>
  <w:p w:rsidR="00A226C4" w:rsidP="00A22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C66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6D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0A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6C4"/>
  </w:style>
  <w:style w:type="character" w:customStyle="1" w:styleId="Heading1Char">
    <w:name w:val="Heading 1 Char"/>
    <w:basedOn w:val="DefaultParagraphFont"/>
    <w:link w:val="Heading1"/>
    <w:rsid w:val="00A22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6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6C4"/>
    <w:rPr>
      <w:b/>
      <w:spacing w:val="0"/>
    </w:rPr>
  </w:style>
  <w:style w:type="paragraph" w:styleId="ListBullet2">
    <w:name w:val="List Bullet 2"/>
    <w:basedOn w:val="List2"/>
    <w:rsid w:val="00A226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26C4"/>
    <w:rPr>
      <w:i/>
    </w:rPr>
  </w:style>
  <w:style w:type="paragraph" w:customStyle="1" w:styleId="SuperHeading">
    <w:name w:val="SuperHeading"/>
    <w:basedOn w:val="Normal"/>
    <w:rsid w:val="00A22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6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6C4"/>
  </w:style>
  <w:style w:type="paragraph" w:styleId="TableofFigures">
    <w:name w:val="table of figures"/>
    <w:basedOn w:val="Normal"/>
    <w:next w:val="Normal"/>
    <w:semiHidden/>
    <w:rsid w:val="00A22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6C4"/>
    <w:rPr>
      <w:rFonts w:ascii="Wingdings" w:hAnsi="Wingdings"/>
    </w:rPr>
  </w:style>
  <w:style w:type="paragraph" w:customStyle="1" w:styleId="TableHeading">
    <w:name w:val="Table Heading"/>
    <w:basedOn w:val="HeadingBase"/>
    <w:rsid w:val="00A22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6C4"/>
    <w:rPr>
      <w:color w:val="0033CC"/>
      <w:u w:val="none"/>
    </w:rPr>
  </w:style>
  <w:style w:type="paragraph" w:customStyle="1" w:styleId="BodyTextRight">
    <w:name w:val="Body Text Right"/>
    <w:basedOn w:val="BodyText"/>
    <w:rsid w:val="00A22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6C4"/>
    <w:rPr>
      <w:sz w:val="32"/>
    </w:rPr>
  </w:style>
  <w:style w:type="paragraph" w:customStyle="1" w:styleId="HeadingProcedure">
    <w:name w:val="Heading Procedure"/>
    <w:basedOn w:val="HeadingBase"/>
    <w:next w:val="Normal"/>
    <w:rsid w:val="00A22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6C4"/>
    <w:pPr>
      <w:spacing w:before="60" w:after="60"/>
    </w:pPr>
  </w:style>
  <w:style w:type="paragraph" w:styleId="ListContinue">
    <w:name w:val="List Continue"/>
    <w:basedOn w:val="List"/>
    <w:rsid w:val="00A226C4"/>
    <w:pPr>
      <w:ind w:firstLine="0"/>
    </w:pPr>
  </w:style>
  <w:style w:type="paragraph" w:customStyle="1" w:styleId="ListNote">
    <w:name w:val="List Note"/>
    <w:basedOn w:val="List"/>
    <w:rsid w:val="00A22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6C4"/>
    <w:rPr>
      <w:rFonts w:ascii="Courier New" w:hAnsi="Courier New"/>
    </w:rPr>
  </w:style>
  <w:style w:type="paragraph" w:customStyle="1" w:styleId="NoteBullet">
    <w:name w:val="Note Bullet"/>
    <w:basedOn w:val="Note"/>
    <w:rsid w:val="00A22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6C4"/>
    <w:rPr>
      <w:b/>
      <w:smallCaps/>
    </w:rPr>
  </w:style>
  <w:style w:type="paragraph" w:customStyle="1" w:styleId="TableListNumber">
    <w:name w:val="Table List Number"/>
    <w:basedOn w:val="ListNumber"/>
    <w:rsid w:val="00A22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6C4"/>
    <w:pPr>
      <w:numPr>
        <w:numId w:val="9"/>
      </w:numPr>
    </w:pPr>
  </w:style>
  <w:style w:type="paragraph" w:customStyle="1" w:styleId="ListAlpha2">
    <w:name w:val="List Alpha 2"/>
    <w:basedOn w:val="List2"/>
    <w:rsid w:val="00A226C4"/>
    <w:pPr>
      <w:numPr>
        <w:numId w:val="8"/>
      </w:numPr>
    </w:pPr>
  </w:style>
  <w:style w:type="paragraph" w:styleId="List2">
    <w:name w:val="List 2"/>
    <w:basedOn w:val="BodyText"/>
    <w:rsid w:val="00A22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6C4"/>
    <w:pPr>
      <w:numPr>
        <w:numId w:val="4"/>
      </w:numPr>
    </w:pPr>
  </w:style>
  <w:style w:type="paragraph" w:styleId="ListContinue2">
    <w:name w:val="List Continue 2"/>
    <w:basedOn w:val="List2"/>
    <w:rsid w:val="00A226C4"/>
    <w:pPr>
      <w:ind w:firstLine="0"/>
    </w:pPr>
  </w:style>
  <w:style w:type="paragraph" w:styleId="ListContinue3">
    <w:name w:val="List Continue 3"/>
    <w:basedOn w:val="List3"/>
    <w:rsid w:val="00A226C4"/>
    <w:pPr>
      <w:ind w:left="1021" w:firstLine="0"/>
    </w:pPr>
  </w:style>
  <w:style w:type="paragraph" w:styleId="ListContinue4">
    <w:name w:val="List Continue 4"/>
    <w:basedOn w:val="List4"/>
    <w:rsid w:val="00A226C4"/>
    <w:pPr>
      <w:ind w:firstLine="0"/>
    </w:pPr>
  </w:style>
  <w:style w:type="paragraph" w:styleId="ListContinue5">
    <w:name w:val="List Continue 5"/>
    <w:basedOn w:val="List5"/>
    <w:rsid w:val="00A226C4"/>
    <w:pPr>
      <w:ind w:firstLine="0"/>
    </w:pPr>
  </w:style>
  <w:style w:type="paragraph" w:styleId="ListNumber3">
    <w:name w:val="List Number 3"/>
    <w:basedOn w:val="List3"/>
    <w:rsid w:val="00A226C4"/>
    <w:pPr>
      <w:numPr>
        <w:numId w:val="5"/>
      </w:numPr>
    </w:pPr>
  </w:style>
  <w:style w:type="paragraph" w:styleId="ListNumber4">
    <w:name w:val="List Number 4"/>
    <w:basedOn w:val="List4"/>
    <w:rsid w:val="00A226C4"/>
    <w:pPr>
      <w:numPr>
        <w:numId w:val="6"/>
      </w:numPr>
    </w:pPr>
  </w:style>
  <w:style w:type="paragraph" w:styleId="ListNumber5">
    <w:name w:val="List Number 5"/>
    <w:basedOn w:val="List5"/>
    <w:rsid w:val="00A226C4"/>
    <w:pPr>
      <w:numPr>
        <w:numId w:val="7"/>
      </w:numPr>
    </w:pPr>
  </w:style>
  <w:style w:type="paragraph" w:styleId="BlockText">
    <w:name w:val="Block Text"/>
    <w:basedOn w:val="Normal"/>
    <w:rsid w:val="00A22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6C4"/>
    <w:rPr>
      <w:sz w:val="16"/>
      <w:vertAlign w:val="superscript"/>
    </w:rPr>
  </w:style>
  <w:style w:type="character" w:customStyle="1" w:styleId="Symbols">
    <w:name w:val="Symbols"/>
    <w:basedOn w:val="DefaultParagraphFont"/>
    <w:rsid w:val="00A226C4"/>
    <w:rPr>
      <w:rFonts w:ascii="Symbol" w:hAnsi="Symbol"/>
    </w:rPr>
  </w:style>
  <w:style w:type="character" w:customStyle="1" w:styleId="MenuOptions">
    <w:name w:val="Menu Options"/>
    <w:basedOn w:val="DefaultParagraphFont"/>
    <w:rsid w:val="00A22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6C4"/>
    <w:rPr>
      <w:b/>
    </w:rPr>
  </w:style>
  <w:style w:type="character" w:customStyle="1" w:styleId="Underlined">
    <w:name w:val="Underlined"/>
    <w:basedOn w:val="DefaultParagraphFont"/>
    <w:rsid w:val="00A226C4"/>
    <w:rPr>
      <w:u w:val="single"/>
    </w:rPr>
  </w:style>
  <w:style w:type="paragraph" w:customStyle="1" w:styleId="TableBodyTextRight">
    <w:name w:val="Table Body Text Right"/>
    <w:basedOn w:val="TableBodyText"/>
    <w:rsid w:val="00A22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6C4"/>
    <w:rPr>
      <w:sz w:val="18"/>
    </w:rPr>
  </w:style>
  <w:style w:type="paragraph" w:customStyle="1" w:styleId="BodySmallRight">
    <w:name w:val="Body Small Right"/>
    <w:basedOn w:val="BodyTextRight"/>
    <w:rsid w:val="00A226C4"/>
    <w:rPr>
      <w:sz w:val="18"/>
      <w:szCs w:val="18"/>
    </w:rPr>
  </w:style>
  <w:style w:type="paragraph" w:customStyle="1" w:styleId="MarginEdition">
    <w:name w:val="Margin Edition"/>
    <w:basedOn w:val="MarginNote"/>
    <w:rsid w:val="00A22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6C4"/>
    <w:rPr>
      <w:sz w:val="2"/>
      <w:szCs w:val="2"/>
    </w:rPr>
  </w:style>
  <w:style w:type="character" w:customStyle="1" w:styleId="Small">
    <w:name w:val="Small"/>
    <w:basedOn w:val="DefaultParagraphFont"/>
    <w:rsid w:val="00A226C4"/>
    <w:rPr>
      <w:sz w:val="16"/>
    </w:rPr>
  </w:style>
  <w:style w:type="paragraph" w:customStyle="1" w:styleId="WideTable">
    <w:name w:val="Wide Table"/>
    <w:basedOn w:val="Normal"/>
    <w:rsid w:val="00A22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6C4"/>
  </w:style>
  <w:style w:type="paragraph" w:styleId="Quote">
    <w:name w:val="Quote"/>
    <w:basedOn w:val="Heading1"/>
    <w:link w:val="QuoteChar"/>
    <w:qFormat/>
    <w:rsid w:val="00A22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6C4"/>
    <w:pPr>
      <w:pageBreakBefore/>
    </w:pPr>
  </w:style>
  <w:style w:type="paragraph" w:customStyle="1" w:styleId="Border">
    <w:name w:val="Border"/>
    <w:basedOn w:val="Normal"/>
    <w:qFormat/>
    <w:rsid w:val="00A22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6C4"/>
    <w:rPr>
      <w:u w:val="single"/>
    </w:rPr>
  </w:style>
  <w:style w:type="character" w:customStyle="1" w:styleId="BoldandItalics">
    <w:name w:val="Bold and Italics"/>
    <w:qFormat/>
    <w:rsid w:val="00A226C4"/>
    <w:rPr>
      <w:b/>
      <w:i/>
      <w:u w:val="none"/>
    </w:rPr>
  </w:style>
  <w:style w:type="paragraph" w:styleId="BalloonText">
    <w:name w:val="Balloon Text"/>
    <w:basedOn w:val="Normal"/>
    <w:link w:val="BalloonTextChar"/>
    <w:rsid w:val="00A22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6C4"/>
    <w:pPr>
      <w:spacing w:before="0" w:after="0"/>
    </w:pPr>
  </w:style>
  <w:style w:type="paragraph" w:customStyle="1" w:styleId="BodyTextBold">
    <w:name w:val="Body Text Bold"/>
    <w:basedOn w:val="BodyText"/>
    <w:qFormat/>
    <w:rsid w:val="00A226C4"/>
    <w:rPr>
      <w:b/>
    </w:rPr>
  </w:style>
  <w:style w:type="character" w:styleId="Hyperlink">
    <w:name w:val="Hyperlink"/>
    <w:basedOn w:val="DefaultParagraphFont"/>
    <w:uiPriority w:val="99"/>
    <w:unhideWhenUsed/>
    <w:rsid w:val="00003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5329</Characters>
  <Application>Microsoft Office Word</Application>
  <DocSecurity>0</DocSecurity>
  <Lines>166</Lines>
  <Paragraphs>117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ICPCBF3690 Set up and produce hand-made box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2025-03-01T13:38:00Z</dcterms:created>
  <dcterms:modified xsi:type="dcterms:W3CDTF">2025-03-01T13:38:00Z</dcterms:modified>
</cp:coreProperties>
</file>