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784" w:rsidP="001767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ICPCBF3270 Set up machine for complex rotary die cutting or embossing</w:t>
      </w:r>
      <w:r>
        <w:fldChar w:fldCharType="end"/>
      </w:r>
    </w:p>
    <w:p w:rsidR="00176784" w:rsidP="00176784">
      <w:pPr>
        <w:pStyle w:val="Version"/>
        <w:sectPr w:rsidSect="00083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A3B" w:rsidP="00083A3B">
      <w:pPr>
        <w:pStyle w:val="SuperHeading"/>
      </w:pPr>
      <w:r w:rsidRPr="00083A3B">
        <w:t>ICPCBF3270 Set up machine for complex rotary die cutting or embossing</w:t>
      </w:r>
    </w:p>
    <w:p w:rsidR="00000000" w:rsidRPr="00083A3B" w:rsidP="00083A3B">
      <w:pPr>
        <w:pStyle w:val="Heading1"/>
      </w:pPr>
      <w:bookmarkStart w:id="1" w:name="O_1074034"/>
      <w:bookmarkEnd w:id="1"/>
      <w:r w:rsidRPr="00083A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83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rPr>
                <w:rStyle w:val="SpecialBold"/>
              </w:rPr>
              <w:t>Comments</w:t>
            </w:r>
          </w:p>
        </w:tc>
      </w:tr>
      <w:tr w:rsidTr="00083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>This version first released with ICP Printing and Graphic Arts Training Package Version 4.0.</w:t>
            </w:r>
          </w:p>
        </w:tc>
      </w:tr>
    </w:tbl>
    <w:p w:rsidR="00000000" w:rsidRPr="00083A3B" w:rsidP="00083A3B">
      <w:pPr>
        <w:pStyle w:val="BodyText"/>
      </w:pPr>
    </w:p>
    <w:p w:rsidR="00000000" w:rsidRPr="00083A3B" w:rsidP="00083A3B">
      <w:pPr>
        <w:pStyle w:val="AllowPageBreak"/>
      </w:pPr>
    </w:p>
    <w:p w:rsidR="00000000" w:rsidRPr="00083A3B" w:rsidP="00083A3B">
      <w:pPr>
        <w:pStyle w:val="Heading1"/>
      </w:pPr>
      <w:bookmarkStart w:id="2" w:name="O_1074040"/>
      <w:bookmarkEnd w:id="2"/>
      <w:r w:rsidRPr="00083A3B">
        <w:t>Application</w:t>
      </w:r>
    </w:p>
    <w:p w:rsidR="00000000" w:rsidRPr="00083A3B" w:rsidP="00176784">
      <w:pPr>
        <w:pStyle w:val="BodyText"/>
      </w:pPr>
      <w:r w:rsidRPr="00083A3B">
        <w:t>This unit describes the skills and knowledge required to set up a machine for complex rotary die cutting or embossing.</w:t>
      </w:r>
    </w:p>
    <w:p w:rsidR="00000000" w:rsidRPr="00083A3B" w:rsidP="00176784">
      <w:pPr>
        <w:pStyle w:val="BodyText"/>
      </w:pPr>
      <w:r w:rsidRPr="00083A3B">
        <w:t>It applies to individuals who prepare material, monitor and run equipment and machinery and apply solutions to a defined rang</w:t>
      </w:r>
      <w:r w:rsidRPr="00083A3B">
        <w:t>e of unpredictable problems. They may also provide leadership and guidance to others with some limited responsibility for the output of others.</w:t>
      </w:r>
    </w:p>
    <w:p w:rsidR="00000000" w:rsidRPr="00083A3B" w:rsidP="00176784">
      <w:pPr>
        <w:pStyle w:val="BodyText"/>
      </w:pPr>
      <w:r w:rsidRPr="00083A3B">
        <w:t>No licensing, legislative or certification requirements apply to this unit at the time of publication.</w:t>
      </w:r>
    </w:p>
    <w:p w:rsidR="00000000" w:rsidRPr="00083A3B" w:rsidP="00083A3B">
      <w:pPr>
        <w:pStyle w:val="Heading1"/>
      </w:pPr>
      <w:bookmarkStart w:id="3" w:name="O_1074039"/>
      <w:bookmarkEnd w:id="3"/>
      <w:r w:rsidRPr="00083A3B">
        <w:t>Unit Sector</w:t>
      </w:r>
    </w:p>
    <w:p w:rsidR="00000000" w:rsidRPr="00083A3B" w:rsidP="00176784">
      <w:pPr>
        <w:pStyle w:val="BodyText"/>
      </w:pPr>
      <w:r w:rsidRPr="00083A3B">
        <w:t>Converting, Binding and Finishing</w:t>
      </w:r>
    </w:p>
    <w:p w:rsidR="00000000" w:rsidRPr="00083A3B" w:rsidP="00083A3B">
      <w:pPr>
        <w:pStyle w:val="Heading1"/>
      </w:pPr>
      <w:bookmarkStart w:id="4" w:name="O_1074038"/>
      <w:bookmarkEnd w:id="4"/>
      <w:r w:rsidRPr="00083A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83A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rPr>
                <w:rStyle w:val="SpecialBold"/>
              </w:rPr>
              <w:t>PERFORMANCE CRITERIA</w:t>
            </w:r>
          </w:p>
        </w:tc>
      </w:tr>
      <w:tr w:rsidTr="00083A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3A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 xml:space="preserve">1.1 Identify job specifications </w:t>
            </w:r>
          </w:p>
          <w:p w:rsidR="00000000" w:rsidRPr="00083A3B" w:rsidP="00083A3B">
            <w:pPr>
              <w:pStyle w:val="BodyText"/>
            </w:pPr>
            <w:r w:rsidRPr="00083A3B">
              <w:t xml:space="preserve">1.2 Set up required printing machinery according to manufacturer specifications and work health and safety </w:t>
            </w:r>
            <w:r w:rsidRPr="00083A3B">
              <w:t>(WHS) requirements</w:t>
            </w:r>
          </w:p>
          <w:p w:rsidR="00000000" w:rsidRPr="00083A3B" w:rsidP="00083A3B">
            <w:pPr>
              <w:pStyle w:val="BodyText"/>
            </w:pPr>
            <w:r w:rsidRPr="00083A3B">
              <w:t>1.3 Confirm availability of all  job components</w:t>
            </w:r>
          </w:p>
          <w:p w:rsidR="00000000" w:rsidRPr="00083A3B" w:rsidP="00083A3B">
            <w:pPr>
              <w:pStyle w:val="BodyText"/>
            </w:pPr>
            <w:r w:rsidRPr="00083A3B">
              <w:t xml:space="preserve">1.4 Select and secure cutting devices and dies to machine </w:t>
            </w:r>
          </w:p>
          <w:p w:rsidR="00000000" w:rsidRPr="00083A3B" w:rsidP="00083A3B">
            <w:pPr>
              <w:pStyle w:val="BodyText"/>
            </w:pPr>
            <w:r w:rsidRPr="00083A3B">
              <w:t xml:space="preserve">1.5 Set up and adjust delivery systems </w:t>
            </w:r>
          </w:p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 xml:space="preserve">1.6 Remove substrate from the process according to job specifications </w:t>
            </w:r>
          </w:p>
        </w:tc>
      </w:tr>
      <w:tr w:rsidTr="00083A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2. Set up machine for basic rotary cutting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 xml:space="preserve">2.1 Set up and adjust rotary cutting devices  </w:t>
            </w:r>
          </w:p>
          <w:p w:rsidR="00000000" w:rsidRPr="00083A3B" w:rsidP="00083A3B">
            <w:pPr>
              <w:pStyle w:val="BodyText"/>
            </w:pPr>
            <w:r w:rsidRPr="00083A3B">
              <w:t xml:space="preserve">2.2 Establish and adjust cutting pressures </w:t>
            </w:r>
          </w:p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 xml:space="preserve">2.3 Set counter knives and anvils in required position </w:t>
            </w:r>
          </w:p>
        </w:tc>
      </w:tr>
      <w:tr w:rsidTr="00083A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3. Set up in-line units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>3.1 Prepare minor in-line units for basic</w:t>
            </w:r>
            <w:r w:rsidRPr="00083A3B">
              <w:t xml:space="preserve"> processes and adjust according to machine requirements</w:t>
            </w:r>
          </w:p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 xml:space="preserve">3.2 Provide assistance in set-up of major in-line units </w:t>
            </w:r>
          </w:p>
        </w:tc>
      </w:tr>
      <w:tr w:rsidTr="00083A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4.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>4.1 Operate machine according to manufacturer specifications and enterprise procedures to produce specified sample</w:t>
            </w:r>
          </w:p>
          <w:p w:rsidR="00000000" w:rsidRPr="00083A3B" w:rsidP="00083A3B">
            <w:pPr>
              <w:pStyle w:val="BodyText"/>
            </w:pPr>
            <w:r w:rsidRPr="00083A3B">
              <w:t>4.2 I</w:t>
            </w:r>
            <w:r w:rsidRPr="00083A3B">
              <w:t>nspect and test proof as required according to enterprise procedures</w:t>
            </w:r>
          </w:p>
          <w:p w:rsidR="00000000" w:rsidRPr="00083A3B" w:rsidP="00083A3B">
            <w:pPr>
              <w:pStyle w:val="BodyText"/>
            </w:pPr>
            <w:r w:rsidRPr="00083A3B">
              <w:t xml:space="preserve">4.3 Monitor and adjust registration of knives and confirm product quality meets the approved sample standard  </w:t>
            </w:r>
          </w:p>
        </w:tc>
      </w:tr>
    </w:tbl>
    <w:p w:rsidR="00000000" w:rsidRPr="00083A3B" w:rsidP="00083A3B">
      <w:pPr>
        <w:pStyle w:val="BodyText"/>
      </w:pPr>
    </w:p>
    <w:p w:rsidR="00000000" w:rsidRPr="00083A3B" w:rsidP="00083A3B">
      <w:pPr>
        <w:pStyle w:val="AllowPageBreak"/>
      </w:pPr>
    </w:p>
    <w:p w:rsidR="00000000" w:rsidRPr="00083A3B" w:rsidP="00083A3B">
      <w:pPr>
        <w:pStyle w:val="Heading1"/>
      </w:pPr>
      <w:bookmarkStart w:id="5" w:name="O_1074037"/>
      <w:bookmarkEnd w:id="5"/>
      <w:r w:rsidRPr="00083A3B">
        <w:t>Foundation Skills</w:t>
      </w:r>
    </w:p>
    <w:p w:rsidR="00000000" w:rsidRPr="00176784" w:rsidP="00176784">
      <w:pPr>
        <w:pStyle w:val="BodyText"/>
        <w:rPr>
          <w:i/>
        </w:rPr>
      </w:pPr>
      <w:r w:rsidRPr="00176784">
        <w:rPr>
          <w:rStyle w:val="Emphasis"/>
        </w:rPr>
        <w:t>This section describes language, lite</w:t>
      </w:r>
      <w:r w:rsidRPr="00176784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083A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rPr>
                <w:rStyle w:val="SpecialBold"/>
              </w:rPr>
              <w:t>Description</w:t>
            </w:r>
          </w:p>
        </w:tc>
      </w:tr>
      <w:tr w:rsidTr="00083A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Self-management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ListBullet"/>
            </w:pPr>
            <w:r w:rsidRPr="00083A3B">
              <w:t>Identifies and follows regulatory requirements and enterprise procedures relevant to own role</w:t>
            </w:r>
          </w:p>
          <w:p w:rsidR="00000000" w:rsidP="00083A3B">
            <w:pPr>
              <w:pStyle w:val="ListBullet"/>
              <w:rPr>
                <w:lang w:val="en-NZ"/>
              </w:rPr>
            </w:pPr>
            <w:r w:rsidRPr="00083A3B">
              <w:t>Implements actions according to instructions, making slight adjustments if necessary</w:t>
            </w:r>
          </w:p>
        </w:tc>
      </w:tr>
      <w:tr w:rsidTr="00083A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ListBullet"/>
              <w:rPr>
                <w:lang w:val="en-NZ"/>
              </w:rPr>
            </w:pPr>
            <w:r w:rsidRPr="00083A3B">
              <w:t>Cooperates with others as part of familiar routine activities, and contributes to specific activities requiring joint responsibility and accountability</w:t>
            </w:r>
          </w:p>
        </w:tc>
      </w:tr>
      <w:tr w:rsidTr="00083A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Plannin</w:t>
            </w:r>
            <w:r w:rsidRPr="00083A3B">
              <w:t xml:space="preserve">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ListBullet"/>
            </w:pPr>
            <w:r w:rsidRPr="00083A3B">
              <w:t xml:space="preserve">Determines priorities and sequences steps involved in clearly defined, familiar tasks </w:t>
            </w:r>
          </w:p>
          <w:p w:rsidR="00000000" w:rsidP="00083A3B">
            <w:pPr>
              <w:pStyle w:val="ListBullet"/>
              <w:rPr>
                <w:lang w:val="en-NZ"/>
              </w:rPr>
            </w:pPr>
            <w:r w:rsidRPr="00083A3B">
              <w:t>Plans, identifies and assembles resources required to complete tasks</w:t>
            </w:r>
          </w:p>
        </w:tc>
      </w:tr>
      <w:tr w:rsidTr="00083A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3B">
            <w:pPr>
              <w:pStyle w:val="BodyText"/>
              <w:rPr>
                <w:lang w:val="en-NZ"/>
              </w:rPr>
            </w:pPr>
            <w:r w:rsidRPr="00083A3B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ListBullet"/>
            </w:pPr>
            <w:r w:rsidRPr="00083A3B">
              <w:t>Follows routine procedures for using digital technology by reading d</w:t>
            </w:r>
            <w:r w:rsidRPr="00083A3B">
              <w:t>ata from electronic monitoring and control systems</w:t>
            </w:r>
          </w:p>
        </w:tc>
      </w:tr>
    </w:tbl>
    <w:p w:rsidR="00000000" w:rsidRPr="00083A3B" w:rsidP="00083A3B">
      <w:pPr>
        <w:pStyle w:val="BodyText"/>
      </w:pPr>
    </w:p>
    <w:p w:rsidR="00000000" w:rsidRPr="00083A3B" w:rsidP="00083A3B">
      <w:pPr>
        <w:pStyle w:val="AllowPageBreak"/>
      </w:pPr>
    </w:p>
    <w:p w:rsidR="00000000" w:rsidRPr="00083A3B" w:rsidP="00083A3B">
      <w:pPr>
        <w:pStyle w:val="Heading1"/>
      </w:pPr>
      <w:bookmarkStart w:id="6" w:name="O_1074036"/>
      <w:bookmarkEnd w:id="6"/>
      <w:r w:rsidRPr="00083A3B">
        <w:t>Range of Conditions</w:t>
      </w:r>
    </w:p>
    <w:p w:rsidR="00000000" w:rsidRPr="00176784" w:rsidP="00176784">
      <w:pPr>
        <w:pStyle w:val="BodyText"/>
        <w:rPr>
          <w:i/>
        </w:rPr>
      </w:pPr>
      <w:r w:rsidRPr="00176784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176784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6"/>
        <w:gridCol w:w="5528"/>
      </w:tblGrid>
      <w:tr w:rsidTr="00083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>Delivery systems must include either:</w:t>
            </w:r>
          </w:p>
          <w:p w:rsidR="00000000" w:rsidP="00083A3B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ListBullet"/>
            </w:pPr>
            <w:r w:rsidRPr="00083A3B">
              <w:t xml:space="preserve">reel systems </w:t>
            </w:r>
          </w:p>
          <w:p w:rsidR="00000000" w:rsidRPr="00083A3B" w:rsidP="00083A3B">
            <w:pPr>
              <w:pStyle w:val="BodyText"/>
            </w:pPr>
            <w:r w:rsidRPr="00083A3B">
              <w:t xml:space="preserve">or </w:t>
            </w:r>
          </w:p>
          <w:p w:rsidR="00000000" w:rsidRPr="00083A3B" w:rsidP="00083A3B">
            <w:pPr>
              <w:pStyle w:val="ListBullet"/>
            </w:pPr>
            <w:r w:rsidRPr="00083A3B">
              <w:t>sheet systems.</w:t>
            </w:r>
          </w:p>
          <w:p w:rsidR="00000000" w:rsidP="00083A3B">
            <w:pPr>
              <w:pStyle w:val="ListBullet"/>
              <w:rPr>
                <w:lang w:val="en-NZ"/>
              </w:rPr>
            </w:pPr>
          </w:p>
        </w:tc>
      </w:tr>
      <w:tr w:rsidTr="00083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BodyText"/>
            </w:pPr>
            <w:r w:rsidRPr="00083A3B">
              <w:t xml:space="preserve">Setting up and adjusting must </w:t>
            </w:r>
            <w:r w:rsidRPr="00083A3B">
              <w:t>include either:</w:t>
            </w:r>
          </w:p>
          <w:p w:rsidR="00000000" w:rsidP="00083A3B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3B" w:rsidP="00083A3B">
            <w:pPr>
              <w:pStyle w:val="ListBullet"/>
            </w:pPr>
            <w:r w:rsidRPr="00083A3B">
              <w:t>unwind and rewind reels</w:t>
            </w:r>
          </w:p>
          <w:p w:rsidR="00000000" w:rsidRPr="00083A3B" w:rsidP="00083A3B">
            <w:pPr>
              <w:pStyle w:val="ListBullet"/>
            </w:pPr>
            <w:r w:rsidRPr="00083A3B">
              <w:t>web control system</w:t>
            </w:r>
          </w:p>
          <w:p w:rsidR="00000000" w:rsidRPr="00083A3B" w:rsidP="00083A3B">
            <w:pPr>
              <w:pStyle w:val="ListBullet"/>
            </w:pPr>
            <w:r w:rsidRPr="00083A3B">
              <w:t xml:space="preserve">folder and sheeter </w:t>
            </w:r>
          </w:p>
          <w:p w:rsidR="00000000" w:rsidRPr="00083A3B" w:rsidP="00083A3B">
            <w:pPr>
              <w:pStyle w:val="BodyText"/>
            </w:pPr>
            <w:r w:rsidRPr="00083A3B">
              <w:t>or</w:t>
            </w:r>
          </w:p>
          <w:p w:rsidR="00000000" w:rsidRPr="00083A3B" w:rsidP="00083A3B">
            <w:pPr>
              <w:pStyle w:val="ListBullet"/>
            </w:pPr>
            <w:r w:rsidRPr="00083A3B">
              <w:t>feeder and delivery systems</w:t>
            </w:r>
          </w:p>
          <w:p w:rsidR="00000000" w:rsidRPr="00083A3B" w:rsidP="00083A3B">
            <w:pPr>
              <w:pStyle w:val="ListBullet"/>
            </w:pPr>
            <w:r w:rsidRPr="00083A3B">
              <w:t>sheet pick-up and transportation systems</w:t>
            </w:r>
          </w:p>
          <w:p w:rsidR="00000000" w:rsidRPr="00083A3B" w:rsidP="00083A3B">
            <w:pPr>
              <w:pStyle w:val="ListBullet"/>
            </w:pPr>
            <w:r w:rsidRPr="00083A3B">
              <w:t>transfer systems.</w:t>
            </w:r>
          </w:p>
        </w:tc>
      </w:tr>
    </w:tbl>
    <w:p w:rsidR="00000000" w:rsidRPr="00083A3B" w:rsidP="00083A3B">
      <w:pPr>
        <w:pStyle w:val="BodyText"/>
      </w:pPr>
    </w:p>
    <w:p w:rsidR="00000000" w:rsidRPr="00083A3B" w:rsidP="00083A3B">
      <w:pPr>
        <w:pStyle w:val="AllowPageBreak"/>
      </w:pPr>
    </w:p>
    <w:p w:rsidR="00000000" w:rsidRPr="00083A3B" w:rsidP="00083A3B">
      <w:pPr>
        <w:pStyle w:val="Heading1"/>
      </w:pPr>
      <w:bookmarkStart w:id="7" w:name="O_1074035"/>
      <w:bookmarkEnd w:id="7"/>
      <w:r w:rsidRPr="00083A3B">
        <w:t>Unit Mapping Information</w:t>
      </w:r>
    </w:p>
    <w:p w:rsidR="00000000" w:rsidRPr="00083A3B" w:rsidP="00176784">
      <w:pPr>
        <w:pStyle w:val="BodyText"/>
      </w:pPr>
      <w:r w:rsidRPr="00083A3B">
        <w:t>Supersedes and is equivalent to ICPCBF327 Set up machine for complex rotary die cutting or embossing.</w:t>
      </w:r>
    </w:p>
    <w:p w:rsidR="00000000" w:rsidRPr="00083A3B" w:rsidP="00083A3B">
      <w:pPr>
        <w:pStyle w:val="Heading1"/>
      </w:pPr>
      <w:bookmarkStart w:id="8" w:name="O_1074028"/>
      <w:bookmarkEnd w:id="8"/>
      <w:r w:rsidRPr="00083A3B">
        <w:t>Links</w:t>
      </w:r>
    </w:p>
    <w:p w:rsidR="00000000" w:rsidRPr="00083A3B" w:rsidP="00176784">
      <w:pPr>
        <w:pStyle w:val="BodyText"/>
      </w:pPr>
      <w:r w:rsidRPr="00083A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31E5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83A3B" w:rsidP="00083A3B"/>
    <w:sectPr w:rsidSect="00083A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3B" w:rsidRPr="00176784" w:rsidP="001767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84" w:rsidP="00083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784" w:rsidP="00083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6784" w:rsidP="00083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A3B" w:rsidRPr="00176784" w:rsidP="001767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784" w:rsidRPr="002D2AF8" w:rsidP="00083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ICPCBF3270 Set up machine for complex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76784" w:rsidP="00083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4D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6B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A3B"/>
  </w:style>
  <w:style w:type="character" w:customStyle="1" w:styleId="Heading1Char">
    <w:name w:val="Heading 1 Char"/>
    <w:basedOn w:val="DefaultParagraphFont"/>
    <w:link w:val="Heading1"/>
    <w:rsid w:val="00083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A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A3B"/>
    <w:rPr>
      <w:b/>
      <w:spacing w:val="0"/>
    </w:rPr>
  </w:style>
  <w:style w:type="character" w:styleId="Emphasis">
    <w:name w:val="Emphasis"/>
    <w:basedOn w:val="DefaultParagraphFont"/>
    <w:qFormat/>
    <w:rsid w:val="00083A3B"/>
    <w:rPr>
      <w:i/>
    </w:rPr>
  </w:style>
  <w:style w:type="paragraph" w:customStyle="1" w:styleId="SuperHeading">
    <w:name w:val="SuperHeading"/>
    <w:basedOn w:val="Normal"/>
    <w:rsid w:val="00083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A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A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A3B"/>
  </w:style>
  <w:style w:type="paragraph" w:styleId="TableofFigures">
    <w:name w:val="table of figures"/>
    <w:basedOn w:val="Normal"/>
    <w:next w:val="Normal"/>
    <w:semiHidden/>
    <w:rsid w:val="00083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A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A3B"/>
    <w:rPr>
      <w:rFonts w:ascii="Wingdings" w:hAnsi="Wingdings"/>
    </w:rPr>
  </w:style>
  <w:style w:type="paragraph" w:customStyle="1" w:styleId="TableHeading">
    <w:name w:val="Table Heading"/>
    <w:basedOn w:val="HeadingBase"/>
    <w:rsid w:val="00083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A3B"/>
    <w:rPr>
      <w:color w:val="0033CC"/>
      <w:u w:val="none"/>
    </w:rPr>
  </w:style>
  <w:style w:type="paragraph" w:customStyle="1" w:styleId="BodyTextRight">
    <w:name w:val="Body Text Right"/>
    <w:basedOn w:val="BodyText"/>
    <w:rsid w:val="00083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A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A3B"/>
    <w:rPr>
      <w:sz w:val="32"/>
    </w:rPr>
  </w:style>
  <w:style w:type="paragraph" w:customStyle="1" w:styleId="HeadingProcedure">
    <w:name w:val="Heading Procedure"/>
    <w:basedOn w:val="HeadingBase"/>
    <w:next w:val="Normal"/>
    <w:rsid w:val="00083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A3B"/>
    <w:pPr>
      <w:spacing w:before="60" w:after="60"/>
    </w:pPr>
  </w:style>
  <w:style w:type="paragraph" w:styleId="ListContinue">
    <w:name w:val="List Continue"/>
    <w:basedOn w:val="List"/>
    <w:rsid w:val="00083A3B"/>
    <w:pPr>
      <w:ind w:firstLine="0"/>
    </w:pPr>
  </w:style>
  <w:style w:type="paragraph" w:customStyle="1" w:styleId="ListNote">
    <w:name w:val="List Note"/>
    <w:basedOn w:val="List"/>
    <w:rsid w:val="00083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A3B"/>
    <w:rPr>
      <w:rFonts w:ascii="Courier New" w:hAnsi="Courier New"/>
    </w:rPr>
  </w:style>
  <w:style w:type="paragraph" w:customStyle="1" w:styleId="NoteBullet">
    <w:name w:val="Note Bullet"/>
    <w:basedOn w:val="Note"/>
    <w:rsid w:val="00083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A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A3B"/>
    <w:rPr>
      <w:b/>
      <w:smallCaps/>
    </w:rPr>
  </w:style>
  <w:style w:type="paragraph" w:customStyle="1" w:styleId="TableListNumber">
    <w:name w:val="Table List Number"/>
    <w:basedOn w:val="ListNumber"/>
    <w:rsid w:val="00083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A3B"/>
    <w:pPr>
      <w:numPr>
        <w:numId w:val="8"/>
      </w:numPr>
    </w:pPr>
  </w:style>
  <w:style w:type="paragraph" w:customStyle="1" w:styleId="ListAlpha2">
    <w:name w:val="List Alpha 2"/>
    <w:basedOn w:val="List2"/>
    <w:rsid w:val="00083A3B"/>
    <w:pPr>
      <w:numPr>
        <w:numId w:val="7"/>
      </w:numPr>
    </w:pPr>
  </w:style>
  <w:style w:type="paragraph" w:styleId="List2">
    <w:name w:val="List 2"/>
    <w:basedOn w:val="BodyText"/>
    <w:rsid w:val="00083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A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A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A3B"/>
    <w:pPr>
      <w:numPr>
        <w:numId w:val="3"/>
      </w:numPr>
    </w:pPr>
  </w:style>
  <w:style w:type="paragraph" w:styleId="ListContinue2">
    <w:name w:val="List Continue 2"/>
    <w:basedOn w:val="List2"/>
    <w:rsid w:val="00083A3B"/>
    <w:pPr>
      <w:ind w:firstLine="0"/>
    </w:pPr>
  </w:style>
  <w:style w:type="paragraph" w:styleId="ListContinue3">
    <w:name w:val="List Continue 3"/>
    <w:basedOn w:val="List3"/>
    <w:rsid w:val="00083A3B"/>
    <w:pPr>
      <w:ind w:left="1021" w:firstLine="0"/>
    </w:pPr>
  </w:style>
  <w:style w:type="paragraph" w:styleId="ListContinue4">
    <w:name w:val="List Continue 4"/>
    <w:basedOn w:val="List4"/>
    <w:rsid w:val="00083A3B"/>
    <w:pPr>
      <w:ind w:firstLine="0"/>
    </w:pPr>
  </w:style>
  <w:style w:type="paragraph" w:styleId="ListContinue5">
    <w:name w:val="List Continue 5"/>
    <w:basedOn w:val="List5"/>
    <w:rsid w:val="00083A3B"/>
    <w:pPr>
      <w:ind w:firstLine="0"/>
    </w:pPr>
  </w:style>
  <w:style w:type="paragraph" w:styleId="ListNumber3">
    <w:name w:val="List Number 3"/>
    <w:basedOn w:val="List3"/>
    <w:rsid w:val="00083A3B"/>
    <w:pPr>
      <w:numPr>
        <w:numId w:val="4"/>
      </w:numPr>
    </w:pPr>
  </w:style>
  <w:style w:type="paragraph" w:styleId="ListNumber4">
    <w:name w:val="List Number 4"/>
    <w:basedOn w:val="List4"/>
    <w:rsid w:val="00083A3B"/>
    <w:pPr>
      <w:numPr>
        <w:numId w:val="5"/>
      </w:numPr>
    </w:pPr>
  </w:style>
  <w:style w:type="paragraph" w:styleId="ListNumber5">
    <w:name w:val="List Number 5"/>
    <w:basedOn w:val="List5"/>
    <w:rsid w:val="00083A3B"/>
    <w:pPr>
      <w:numPr>
        <w:numId w:val="6"/>
      </w:numPr>
    </w:pPr>
  </w:style>
  <w:style w:type="paragraph" w:styleId="BlockText">
    <w:name w:val="Block Text"/>
    <w:basedOn w:val="Normal"/>
    <w:rsid w:val="00083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A3B"/>
    <w:rPr>
      <w:sz w:val="16"/>
      <w:vertAlign w:val="superscript"/>
    </w:rPr>
  </w:style>
  <w:style w:type="character" w:customStyle="1" w:styleId="Symbols">
    <w:name w:val="Symbols"/>
    <w:basedOn w:val="DefaultParagraphFont"/>
    <w:rsid w:val="00083A3B"/>
    <w:rPr>
      <w:rFonts w:ascii="Symbol" w:hAnsi="Symbol"/>
    </w:rPr>
  </w:style>
  <w:style w:type="character" w:customStyle="1" w:styleId="MenuOptions">
    <w:name w:val="Menu Options"/>
    <w:basedOn w:val="DefaultParagraphFont"/>
    <w:rsid w:val="00083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A3B"/>
    <w:rPr>
      <w:b/>
    </w:rPr>
  </w:style>
  <w:style w:type="character" w:customStyle="1" w:styleId="Underlined">
    <w:name w:val="Underlined"/>
    <w:basedOn w:val="DefaultParagraphFont"/>
    <w:rsid w:val="00083A3B"/>
    <w:rPr>
      <w:u w:val="single"/>
    </w:rPr>
  </w:style>
  <w:style w:type="paragraph" w:customStyle="1" w:styleId="TableBodyTextRight">
    <w:name w:val="Table Body Text Right"/>
    <w:basedOn w:val="TableBodyText"/>
    <w:rsid w:val="00083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A3B"/>
    <w:rPr>
      <w:sz w:val="18"/>
    </w:rPr>
  </w:style>
  <w:style w:type="paragraph" w:customStyle="1" w:styleId="BodySmallRight">
    <w:name w:val="Body Small Right"/>
    <w:basedOn w:val="BodyTextRight"/>
    <w:rsid w:val="00083A3B"/>
    <w:rPr>
      <w:sz w:val="18"/>
      <w:szCs w:val="18"/>
    </w:rPr>
  </w:style>
  <w:style w:type="paragraph" w:customStyle="1" w:styleId="MarginEdition">
    <w:name w:val="Margin Edition"/>
    <w:basedOn w:val="MarginNote"/>
    <w:rsid w:val="00083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A3B"/>
    <w:rPr>
      <w:sz w:val="2"/>
      <w:szCs w:val="2"/>
    </w:rPr>
  </w:style>
  <w:style w:type="character" w:customStyle="1" w:styleId="Small">
    <w:name w:val="Small"/>
    <w:basedOn w:val="DefaultParagraphFont"/>
    <w:rsid w:val="00083A3B"/>
    <w:rPr>
      <w:sz w:val="16"/>
    </w:rPr>
  </w:style>
  <w:style w:type="paragraph" w:customStyle="1" w:styleId="WideTable">
    <w:name w:val="Wide Table"/>
    <w:basedOn w:val="Normal"/>
    <w:rsid w:val="00083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A3B"/>
  </w:style>
  <w:style w:type="paragraph" w:styleId="Quote">
    <w:name w:val="Quote"/>
    <w:basedOn w:val="Heading1"/>
    <w:link w:val="QuoteChar"/>
    <w:qFormat/>
    <w:rsid w:val="00083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A3B"/>
    <w:pPr>
      <w:pageBreakBefore/>
    </w:pPr>
  </w:style>
  <w:style w:type="paragraph" w:customStyle="1" w:styleId="Border">
    <w:name w:val="Border"/>
    <w:basedOn w:val="Normal"/>
    <w:qFormat/>
    <w:rsid w:val="00083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A3B"/>
    <w:rPr>
      <w:u w:val="single"/>
    </w:rPr>
  </w:style>
  <w:style w:type="character" w:customStyle="1" w:styleId="BoldandItalics">
    <w:name w:val="Bold and Italics"/>
    <w:qFormat/>
    <w:rsid w:val="00083A3B"/>
    <w:rPr>
      <w:b/>
      <w:i/>
      <w:u w:val="none"/>
    </w:rPr>
  </w:style>
  <w:style w:type="paragraph" w:styleId="BalloonText">
    <w:name w:val="Balloon Text"/>
    <w:basedOn w:val="Normal"/>
    <w:link w:val="BalloonTextChar"/>
    <w:rsid w:val="00083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A3B"/>
    <w:pPr>
      <w:spacing w:before="0" w:after="0"/>
    </w:pPr>
  </w:style>
  <w:style w:type="paragraph" w:customStyle="1" w:styleId="BodyTextBold">
    <w:name w:val="Body Text Bold"/>
    <w:basedOn w:val="BodyText"/>
    <w:qFormat/>
    <w:rsid w:val="00083A3B"/>
    <w:rPr>
      <w:b/>
    </w:rPr>
  </w:style>
  <w:style w:type="character" w:styleId="Hyperlink">
    <w:name w:val="Hyperlink"/>
    <w:basedOn w:val="DefaultParagraphFont"/>
    <w:uiPriority w:val="99"/>
    <w:unhideWhenUsed/>
    <w:rsid w:val="001767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3483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ICPCBF3270 Set up machine for complex rotary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