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72C5" w:rsidP="00B372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ICPCBF309 Produce complex folded and glued cartons</w:t>
      </w:r>
      <w:r>
        <w:fldChar w:fldCharType="end"/>
      </w:r>
    </w:p>
    <w:p w:rsidR="00B372C5" w:rsidP="00B372C5">
      <w:pPr>
        <w:pStyle w:val="Version"/>
        <w:sectPr w:rsidSect="00AC20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0FA" w:rsidP="00AC20FA">
      <w:pPr>
        <w:pStyle w:val="SuperHeading"/>
      </w:pPr>
      <w:r w:rsidRPr="00AC20FA">
        <w:t>ICPCBF309 Produce complex folded and glued cartons</w:t>
      </w:r>
    </w:p>
    <w:p w:rsidR="00000000" w:rsidRPr="00AC20FA" w:rsidP="00AC20FA">
      <w:pPr>
        <w:pStyle w:val="Heading1"/>
      </w:pPr>
      <w:bookmarkStart w:id="1" w:name="O_693864"/>
      <w:bookmarkEnd w:id="1"/>
      <w:r w:rsidRPr="00AC20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AC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rPr>
                <w:rStyle w:val="SpecialBold"/>
              </w:rPr>
              <w:t>Comments</w:t>
            </w:r>
          </w:p>
        </w:tc>
      </w:tr>
      <w:tr w:rsidTr="00AC20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This version first released with ICP Printing and Graphic Arts Training Package Version 1.0.</w:t>
            </w:r>
          </w:p>
        </w:tc>
      </w:tr>
    </w:tbl>
    <w:p w:rsidR="00000000" w:rsidRPr="00AC20FA" w:rsidP="00AC20FA">
      <w:pPr>
        <w:pStyle w:val="BodyText"/>
      </w:pPr>
    </w:p>
    <w:p w:rsidR="00000000" w:rsidRPr="00AC20FA" w:rsidP="00AC20FA">
      <w:pPr>
        <w:pStyle w:val="AllowPageBreak"/>
      </w:pPr>
    </w:p>
    <w:p w:rsidR="00000000" w:rsidRPr="00AC20FA" w:rsidP="00AC20FA">
      <w:pPr>
        <w:pStyle w:val="Heading1"/>
      </w:pPr>
      <w:bookmarkStart w:id="2" w:name="O_693865"/>
      <w:bookmarkEnd w:id="2"/>
      <w:r w:rsidRPr="00AC20FA">
        <w:t>Application</w:t>
      </w:r>
    </w:p>
    <w:p w:rsidR="00000000" w:rsidRPr="00AC20FA" w:rsidP="00B372C5">
      <w:pPr>
        <w:pStyle w:val="BodyText"/>
      </w:pPr>
      <w:r w:rsidRPr="00AC20FA">
        <w:t>This unit describes the skills and knowledge required to produce complex fo</w:t>
      </w:r>
      <w:r w:rsidRPr="00AC20FA">
        <w:t>lded and glued products while maintaining the production process and machinery operation.</w:t>
      </w:r>
    </w:p>
    <w:p w:rsidR="00000000" w:rsidRPr="00AC20FA" w:rsidP="00B372C5">
      <w:pPr>
        <w:pStyle w:val="BodyText"/>
      </w:pPr>
      <w:r w:rsidRPr="00AC20FA">
        <w:t>It applies to individuals who work under direct supervision with limited responsibility in preparing materials and equipment and resolving issues to produce a finish</w:t>
      </w:r>
      <w:r w:rsidRPr="00AC20FA">
        <w:t>ed product.</w:t>
      </w:r>
    </w:p>
    <w:p w:rsidR="00000000" w:rsidRPr="00AC20FA" w:rsidP="00B372C5">
      <w:pPr>
        <w:pStyle w:val="BodyText"/>
      </w:pPr>
      <w:r w:rsidRPr="00AC20FA">
        <w:t>No licensing, legislative or certification requirements apply to this unit at the time of publication.</w:t>
      </w:r>
    </w:p>
    <w:p w:rsidR="00000000" w:rsidRPr="00AC20FA" w:rsidP="00AC20FA">
      <w:pPr>
        <w:pStyle w:val="Heading1"/>
      </w:pPr>
      <w:bookmarkStart w:id="3" w:name="O_693868"/>
      <w:bookmarkEnd w:id="3"/>
      <w:r w:rsidRPr="00AC20FA">
        <w:t>Unit Sector</w:t>
      </w:r>
    </w:p>
    <w:p w:rsidR="00000000" w:rsidRPr="00AC20FA" w:rsidP="00B372C5">
      <w:pPr>
        <w:pStyle w:val="BodyText"/>
      </w:pPr>
      <w:r w:rsidRPr="00AC20FA">
        <w:t>Converting, Binding and Finishing</w:t>
      </w:r>
    </w:p>
    <w:p w:rsidR="00000000" w:rsidRPr="00AC20FA" w:rsidP="00AC20FA">
      <w:pPr>
        <w:pStyle w:val="Heading1"/>
      </w:pPr>
      <w:bookmarkStart w:id="4" w:name="O_693869"/>
      <w:bookmarkEnd w:id="4"/>
      <w:r w:rsidRPr="00AC20FA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rPr>
                <w:rStyle w:val="SpecialBold"/>
              </w:rPr>
              <w:t>PERFORMANCE CRITERIA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1. Maintain operation of carton blank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1.1 Feeder is monitored and adjusted to ensure con</w:t>
            </w:r>
            <w:r w:rsidRPr="00AC20FA">
              <w:t xml:space="preserve">tinuous and efficient feeding to machine 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1.2 Carton blank pick-up and transportation system is monitored and adjusted to ensure accurate and continuous sheet handling and efficient operation </w:t>
            </w:r>
          </w:p>
          <w:p w:rsidR="00000000" w:rsidRPr="00AC20FA" w:rsidP="00AC20FA">
            <w:pPr>
              <w:pStyle w:val="BodyText"/>
            </w:pPr>
            <w:r w:rsidRPr="00AC20FA">
              <w:t>1.3 Transfer systems are monitored and adjusted to ensure corr</w:t>
            </w:r>
            <w:r w:rsidRPr="00AC20FA">
              <w:t xml:space="preserve">ect and continuous carton blank handling and efficient operation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1.4 Substrate is added to process according to job specifications </w:t>
            </w:r>
          </w:p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 xml:space="preserve">1.5 Delivery is monitored and adjusted to ensure quality and efficient product delivery 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2. Maintain complex carton folding and gluing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2.1 Registration and accuracy of folds are monitored and adjusted to ensure product quality meets the approved sample standard</w:t>
            </w:r>
          </w:p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2.2 Gluing process is monitored and adjusted to ensure accuracy of glue app</w:t>
            </w:r>
            <w:r w:rsidRPr="00AC20FA">
              <w:t xml:space="preserve">lication and strength of adhesion conforms to quality standards 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3. Maintain operation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 xml:space="preserve">3.1 Production process is operated in association with fellow workers and according to enterprise specifications and planned daily schedule </w:t>
            </w:r>
          </w:p>
          <w:p w:rsidR="00000000" w:rsidRPr="00AC20FA" w:rsidP="00AC20FA">
            <w:pPr>
              <w:pStyle w:val="BodyText"/>
            </w:pPr>
            <w:r w:rsidRPr="00AC20FA">
              <w:t>3.2 P</w:t>
            </w:r>
            <w:r w:rsidRPr="00AC20FA">
              <w:t xml:space="preserve">roduction is maintained according to work health and safety requirements, manufacturer’s specifications and enterprise procedures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3.3 Performance is monitored and verified using the process control system according to enterprise procedures </w:t>
            </w:r>
          </w:p>
          <w:p w:rsidR="00000000" w:rsidRPr="00AC20FA" w:rsidP="00AC20FA">
            <w:pPr>
              <w:pStyle w:val="BodyText"/>
            </w:pPr>
            <w:r w:rsidRPr="00AC20FA">
              <w:t>3.4 Production</w:t>
            </w:r>
            <w:r w:rsidRPr="00AC20FA">
              <w:t xml:space="preserve"> difficulties are anticipated and preventive action is taken to prevent occurrence by timely intervention </w:t>
            </w:r>
          </w:p>
          <w:p w:rsidR="00000000" w:rsidRPr="00AC20FA" w:rsidP="00AC20FA">
            <w:pPr>
              <w:pStyle w:val="BodyText"/>
            </w:pPr>
            <w:r w:rsidRPr="00AC20FA">
              <w:t>3.5 Process adjustments to eliminate problems are reported according to enterprise procedures</w:t>
            </w:r>
          </w:p>
          <w:p w:rsidR="00000000" w:rsidRPr="00AC20FA" w:rsidP="00AC20FA">
            <w:pPr>
              <w:pStyle w:val="BodyText"/>
            </w:pPr>
            <w:r w:rsidRPr="00AC20FA">
              <w:t>3.6 Faulty performance of equipment is identified and r</w:t>
            </w:r>
            <w:r w:rsidRPr="00AC20FA">
              <w:t>eported according to enterprise procedures</w:t>
            </w:r>
          </w:p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 xml:space="preserve">3.7 Waste is sorted according to enterprise procedures 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4. Identify and rectify problems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 xml:space="preserve">4.1 Problems in folding and gluing machine operation are identified and reported according to enterprise requirements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4.2 </w:t>
            </w:r>
            <w:r w:rsidRPr="00AC20FA">
              <w:t xml:space="preserve">Adjustments or corrections are carried out according to specified procedures and consistent with operator’s skill level </w:t>
            </w:r>
          </w:p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 xml:space="preserve">4.3 Complex folding/gluing machine operation is checked to ensure correct operation 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5. Conduct shutdown of production process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5.1 Cor</w:t>
            </w:r>
            <w:r w:rsidRPr="00AC20FA">
              <w:t xml:space="preserve">rect shutdown sequence is followed according to manufacturer’s specifications and enterprise procedures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5.2 Shutdown is conducted in association with fellow workers and in compliance with WHS requirements </w:t>
            </w:r>
          </w:p>
          <w:p w:rsidR="00000000" w:rsidRPr="00AC20FA" w:rsidP="00AC20FA">
            <w:pPr>
              <w:pStyle w:val="BodyText"/>
            </w:pPr>
            <w:r w:rsidRPr="00AC20FA">
              <w:t>5.3 Waste is removed from operating area and recy</w:t>
            </w:r>
            <w:r w:rsidRPr="00AC20FA">
              <w:t xml:space="preserve">cled or disposed of, where required, according to regulatory requirements and enterprise procedures  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5.4 Machine faults requiring repair are identified and reported to designated person, according to enterprise procedures </w:t>
            </w:r>
          </w:p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 xml:space="preserve">5.5 Repair/adjustment is verified prior to resumption of operations </w:t>
            </w:r>
          </w:p>
        </w:tc>
      </w:tr>
      <w:tr w:rsidTr="00AC20F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6. Clean folding/gluing machine at end of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6.1 Folding unit is cleaned ready for next run</w:t>
            </w:r>
          </w:p>
          <w:p w:rsidR="00000000" w:rsidRPr="00AC20FA" w:rsidP="00AC20FA">
            <w:pPr>
              <w:pStyle w:val="BodyText"/>
            </w:pPr>
            <w:r w:rsidRPr="00AC20FA">
              <w:t xml:space="preserve">6.2 Gluing unit is disengaged and cleaned ready for next run </w:t>
            </w:r>
          </w:p>
          <w:p w:rsidR="00000000" w:rsidRPr="00AC20FA" w:rsidP="00AC20FA">
            <w:pPr>
              <w:pStyle w:val="BodyText"/>
            </w:pPr>
            <w:r w:rsidRPr="00AC20FA">
              <w:t>6.3 Transport and delivery syst</w:t>
            </w:r>
            <w:r w:rsidRPr="00AC20FA">
              <w:t xml:space="preserve">ems are cleaned ready for next run </w:t>
            </w:r>
          </w:p>
          <w:p w:rsidR="00000000" w:rsidRPr="00AC20FA" w:rsidP="00AC20FA">
            <w:pPr>
              <w:pStyle w:val="BodyText"/>
            </w:pPr>
            <w:r w:rsidRPr="00AC20FA">
              <w:t>6.4 Production records or other documentation are accurately completed where required by enterprise procedures</w:t>
            </w:r>
          </w:p>
        </w:tc>
      </w:tr>
    </w:tbl>
    <w:p w:rsidR="00000000" w:rsidRPr="00AC20FA" w:rsidP="00AC20FA">
      <w:pPr>
        <w:pStyle w:val="BodyText"/>
      </w:pPr>
    </w:p>
    <w:p w:rsidR="00000000" w:rsidRPr="00AC20FA" w:rsidP="00AC20FA">
      <w:pPr>
        <w:pStyle w:val="AllowPageBreak"/>
      </w:pPr>
    </w:p>
    <w:p w:rsidR="00000000" w:rsidRPr="00AC20FA" w:rsidP="00AC20FA">
      <w:pPr>
        <w:pStyle w:val="Heading1"/>
      </w:pPr>
      <w:bookmarkStart w:id="5" w:name="O_693870"/>
      <w:bookmarkEnd w:id="5"/>
      <w:r w:rsidRPr="00AC20FA">
        <w:t>Foundation Skills</w:t>
      </w:r>
    </w:p>
    <w:p w:rsidR="00000000" w:rsidRPr="00B372C5" w:rsidP="00B372C5">
      <w:pPr>
        <w:pStyle w:val="BodyText"/>
        <w:rPr>
          <w:i/>
        </w:rPr>
      </w:pPr>
      <w:r w:rsidRPr="00B372C5">
        <w:rPr>
          <w:rStyle w:val="Emphasis"/>
        </w:rPr>
        <w:t>This section describes language, literacy, numeracy and employment skill</w:t>
      </w:r>
      <w:r w:rsidRPr="00B372C5">
        <w:rPr>
          <w:rStyle w:val="Emphasis"/>
        </w:rPr>
        <w:t>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Performance</w:t>
            </w:r>
          </w:p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rPr>
                <w:rStyle w:val="SpecialBold"/>
              </w:rPr>
              <w:t>Description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1.4, 2.2, 3.1-3.3, 3.5-3.7, 4.1, 4.2, 5.1, 5.3, 5.4,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ListBullet"/>
              <w:rPr>
                <w:lang w:val="en-NZ"/>
              </w:rPr>
            </w:pPr>
            <w:r w:rsidRPr="00AC20FA">
              <w:t>Recognises and interprets text to confirm work requirements from information contained within relevant procedures and specifications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3.5, 3.6, 4.1, 5.4, 6.4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ListBullet"/>
              <w:rPr>
                <w:lang w:val="en-NZ"/>
              </w:rPr>
            </w:pPr>
            <w:r w:rsidRPr="00AC20FA">
              <w:t xml:space="preserve">Enters routine data associated with production processes and enterprise procedures 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Oral</w:t>
            </w:r>
            <w:r w:rsidRPr="00AC20FA">
              <w:t xml:space="preserve">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3.1, 3.5, 3.6, 4.1, 5.2, 5.4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ListBullet"/>
            </w:pPr>
            <w:r w:rsidRPr="00AC20FA">
              <w:t>Speaks clearly using appropriate vocabulary, tone and pace to report faults and discrepancies</w:t>
            </w:r>
          </w:p>
          <w:p w:rsidR="00000000" w:rsidP="00AC20FA">
            <w:pPr>
              <w:pStyle w:val="ListBullet"/>
              <w:rPr>
                <w:lang w:val="en-NZ"/>
              </w:rPr>
            </w:pPr>
            <w:r w:rsidRPr="00AC20FA">
              <w:t xml:space="preserve">Participates effectively in spoken interactions to confirm or clarify 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2.1, 2.2, 3.1-3.3,</w:t>
            </w:r>
            <w:r w:rsidRPr="00AC20FA">
              <w:t xml:space="preserve"> 3.5-3.7, 4.1, 4.2, 5.1-5.4, 6.1-6.4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ListBullet"/>
              <w:rPr>
                <w:lang w:val="en-NZ"/>
              </w:rPr>
            </w:pPr>
            <w:r w:rsidRPr="00AC20FA">
              <w:t>Recognises and follows all procedures for operation and maintenance of equipment, incorporating regulatory requirements and enterprise procedures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3.1, 3.5, 3.6, 4.1, 5.2, 5.4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ListBullet"/>
            </w:pPr>
            <w:r w:rsidRPr="00AC20FA">
              <w:t>Cooperates with others as part of familiar routine activities, and contributes to specific activities requiring joint responsibility and accountability</w:t>
            </w:r>
          </w:p>
          <w:p w:rsidR="00000000" w:rsidP="00AC20FA">
            <w:pPr>
              <w:pStyle w:val="ListBullet"/>
              <w:rPr>
                <w:lang w:val="en-NZ"/>
              </w:rPr>
            </w:pPr>
            <w:r w:rsidRPr="00AC20FA">
              <w:t>Understands what to communicate, with whom and how, in routine work situations</w:t>
            </w:r>
          </w:p>
        </w:tc>
      </w:tr>
      <w:tr w:rsidTr="00AC20F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1.1-1.</w:t>
            </w:r>
            <w:r w:rsidRPr="00AC20FA">
              <w:t>5, 2.1, 2.2, 3.1-3.4, 3.6, 3.7, 4.1-4.3, 5.1-5.5, 6.4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ListBullet"/>
            </w:pPr>
            <w:r w:rsidRPr="00AC20FA">
              <w:t>Determines priorities and sequences steps involved in clearly defined, familiar tasks</w:t>
            </w:r>
          </w:p>
          <w:p w:rsidR="00000000" w:rsidRPr="00AC20FA" w:rsidP="00AC20FA">
            <w:pPr>
              <w:pStyle w:val="ListBullet"/>
            </w:pPr>
            <w:r w:rsidRPr="00AC20FA">
              <w:t>Recognises and anticipates an increasing range of familiar problems, their symptoms and causes; actively looking fo</w:t>
            </w:r>
            <w:r w:rsidRPr="00AC20FA">
              <w:t>r early warning signs and implementing contingency plans</w:t>
            </w:r>
          </w:p>
          <w:p w:rsidR="00000000" w:rsidRPr="00AC20FA" w:rsidP="00AC20FA">
            <w:pPr>
              <w:pStyle w:val="ListBullet"/>
            </w:pPr>
            <w:r w:rsidRPr="00AC20FA">
              <w:t>Follows routine procedures for using digital technology by reading data from electronic monitoring and control systems</w:t>
            </w:r>
          </w:p>
        </w:tc>
      </w:tr>
    </w:tbl>
    <w:p w:rsidR="00000000" w:rsidRPr="00AC20FA" w:rsidP="00AC20FA">
      <w:pPr>
        <w:pStyle w:val="BodyText"/>
      </w:pPr>
    </w:p>
    <w:p w:rsidR="00000000" w:rsidRPr="00AC20FA" w:rsidP="00AC20FA">
      <w:pPr>
        <w:pStyle w:val="AllowPageBreak"/>
      </w:pPr>
    </w:p>
    <w:p w:rsidR="00000000" w:rsidRPr="00AC20FA" w:rsidP="00AC20FA">
      <w:pPr>
        <w:pStyle w:val="Heading1"/>
      </w:pPr>
      <w:bookmarkStart w:id="6" w:name="O_693872"/>
      <w:bookmarkEnd w:id="6"/>
      <w:r w:rsidRPr="00AC20FA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AC20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 xml:space="preserve">Code and title </w:t>
            </w:r>
          </w:p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Code and title</w:t>
            </w:r>
          </w:p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rPr>
                <w:rStyle w:val="SpecialBold"/>
              </w:rPr>
              <w:t>Equivalence status</w:t>
            </w:r>
          </w:p>
        </w:tc>
      </w:tr>
      <w:tr w:rsidTr="00AC20FA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ICPCBF309 Produce complex folded and glued cartons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ICPCF3109C Produce complex folded and glued cartons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0FA">
            <w:pPr>
              <w:pStyle w:val="BodyText"/>
              <w:rPr>
                <w:lang w:val="en-NZ"/>
              </w:rPr>
            </w:pPr>
            <w:r w:rsidRPr="00AC20FA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0FA" w:rsidP="00AC20FA">
            <w:pPr>
              <w:pStyle w:val="BodyText"/>
            </w:pPr>
            <w:r w:rsidRPr="00AC20FA">
              <w:t>Equivalent unit</w:t>
            </w:r>
          </w:p>
        </w:tc>
      </w:tr>
    </w:tbl>
    <w:p w:rsidR="00B372C5" w:rsidP="00AC20FA">
      <w:pPr>
        <w:pStyle w:val="BodyText"/>
      </w:pPr>
    </w:p>
    <w:p w:rsidR="00B372C5" w:rsidP="00AC20FA">
      <w:pPr>
        <w:pStyle w:val="BodyText"/>
      </w:pPr>
    </w:p>
    <w:p w:rsidR="00000000" w:rsidRPr="00AC20FA" w:rsidP="00AC20FA">
      <w:pPr>
        <w:pStyle w:val="Heading1"/>
      </w:pPr>
      <w:bookmarkStart w:id="7" w:name="O_693879"/>
      <w:bookmarkEnd w:id="7"/>
      <w:r w:rsidRPr="00AC20FA">
        <w:t>Links</w:t>
      </w:r>
    </w:p>
    <w:p w:rsidR="00000000" w:rsidRPr="00AC20FA" w:rsidP="00B372C5">
      <w:pPr>
        <w:pStyle w:val="BodyText"/>
      </w:pPr>
      <w:r w:rsidRPr="00AC20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4242DF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AC20FA" w:rsidP="00AC20FA"/>
    <w:sectPr w:rsidSect="00AC20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FA" w:rsidRPr="00B372C5" w:rsidP="00B372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C5" w:rsidP="00AC20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372C5" w:rsidP="00AC20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372C5" w:rsidP="00AC20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0FA" w:rsidRPr="00B372C5" w:rsidP="00B372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0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2C5" w:rsidRPr="002D2AF8" w:rsidP="00AC20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ICPCBF309 Produce complex folded and glued cartons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B372C5" w:rsidP="00AC20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7A57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D3246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0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0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0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0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0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0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0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0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0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0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0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0FA"/>
  </w:style>
  <w:style w:type="character" w:customStyle="1" w:styleId="Heading1Char">
    <w:name w:val="Heading 1 Char"/>
    <w:basedOn w:val="DefaultParagraphFont"/>
    <w:link w:val="Heading1"/>
    <w:rsid w:val="00AC20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0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0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20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0FA"/>
    <w:rPr>
      <w:b/>
      <w:spacing w:val="0"/>
    </w:rPr>
  </w:style>
  <w:style w:type="character" w:styleId="Emphasis">
    <w:name w:val="Emphasis"/>
    <w:basedOn w:val="DefaultParagraphFont"/>
    <w:qFormat/>
    <w:rsid w:val="00AC20FA"/>
    <w:rPr>
      <w:i/>
    </w:rPr>
  </w:style>
  <w:style w:type="paragraph" w:customStyle="1" w:styleId="SuperHeading">
    <w:name w:val="SuperHeading"/>
    <w:basedOn w:val="Normal"/>
    <w:rsid w:val="00AC20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0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0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0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0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0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0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0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0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0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0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0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0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0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0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0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0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0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20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20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0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0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0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0F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0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0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0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0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0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0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0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0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0F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0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0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0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0FA"/>
  </w:style>
  <w:style w:type="paragraph" w:styleId="TableofFigures">
    <w:name w:val="table of figures"/>
    <w:basedOn w:val="Normal"/>
    <w:next w:val="Normal"/>
    <w:semiHidden/>
    <w:rsid w:val="00AC20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0FA"/>
    <w:pPr>
      <w:numPr>
        <w:numId w:val="10"/>
      </w:numPr>
    </w:pPr>
  </w:style>
  <w:style w:type="character" w:customStyle="1" w:styleId="WingdingSymbols">
    <w:name w:val="Wingding Symbols"/>
    <w:rsid w:val="00AC20FA"/>
    <w:rPr>
      <w:rFonts w:ascii="Wingdings" w:hAnsi="Wingdings"/>
    </w:rPr>
  </w:style>
  <w:style w:type="paragraph" w:customStyle="1" w:styleId="TableHeading">
    <w:name w:val="Table Heading"/>
    <w:basedOn w:val="HeadingBase"/>
    <w:rsid w:val="00AC20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0FA"/>
    <w:rPr>
      <w:color w:val="0033CC"/>
      <w:u w:val="none"/>
    </w:rPr>
  </w:style>
  <w:style w:type="paragraph" w:customStyle="1" w:styleId="BodyTextRight">
    <w:name w:val="Body Text Right"/>
    <w:basedOn w:val="BodyText"/>
    <w:rsid w:val="00AC20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0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0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0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0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0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0FA"/>
    <w:rPr>
      <w:sz w:val="32"/>
    </w:rPr>
  </w:style>
  <w:style w:type="paragraph" w:customStyle="1" w:styleId="HeadingProcedure">
    <w:name w:val="Heading Procedure"/>
    <w:basedOn w:val="HeadingBase"/>
    <w:next w:val="Normal"/>
    <w:rsid w:val="00AC20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0FA"/>
    <w:pPr>
      <w:spacing w:before="60" w:after="60"/>
    </w:pPr>
  </w:style>
  <w:style w:type="paragraph" w:styleId="ListContinue">
    <w:name w:val="List Continue"/>
    <w:basedOn w:val="List"/>
    <w:rsid w:val="00AC20FA"/>
    <w:pPr>
      <w:ind w:firstLine="0"/>
    </w:pPr>
  </w:style>
  <w:style w:type="paragraph" w:customStyle="1" w:styleId="ListNote">
    <w:name w:val="List Note"/>
    <w:basedOn w:val="List"/>
    <w:rsid w:val="00AC20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0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0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0FA"/>
    <w:rPr>
      <w:rFonts w:ascii="Courier New" w:hAnsi="Courier New"/>
    </w:rPr>
  </w:style>
  <w:style w:type="paragraph" w:customStyle="1" w:styleId="NoteBullet">
    <w:name w:val="Note Bullet"/>
    <w:basedOn w:val="Note"/>
    <w:rsid w:val="00AC20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0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0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0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0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20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0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0FA"/>
    <w:rPr>
      <w:b/>
      <w:smallCaps/>
    </w:rPr>
  </w:style>
  <w:style w:type="paragraph" w:customStyle="1" w:styleId="TableListNumber">
    <w:name w:val="Table List Number"/>
    <w:basedOn w:val="ListNumber"/>
    <w:rsid w:val="00AC20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0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0FA"/>
    <w:pPr>
      <w:numPr>
        <w:numId w:val="8"/>
      </w:numPr>
    </w:pPr>
  </w:style>
  <w:style w:type="paragraph" w:customStyle="1" w:styleId="ListAlpha2">
    <w:name w:val="List Alpha 2"/>
    <w:basedOn w:val="List2"/>
    <w:rsid w:val="00AC20FA"/>
    <w:pPr>
      <w:numPr>
        <w:numId w:val="7"/>
      </w:numPr>
    </w:pPr>
  </w:style>
  <w:style w:type="paragraph" w:styleId="List2">
    <w:name w:val="List 2"/>
    <w:basedOn w:val="BodyText"/>
    <w:rsid w:val="00AC20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0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0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0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0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0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0FA"/>
    <w:pPr>
      <w:numPr>
        <w:numId w:val="3"/>
      </w:numPr>
    </w:pPr>
  </w:style>
  <w:style w:type="paragraph" w:styleId="ListContinue2">
    <w:name w:val="List Continue 2"/>
    <w:basedOn w:val="List2"/>
    <w:rsid w:val="00AC20FA"/>
    <w:pPr>
      <w:ind w:firstLine="0"/>
    </w:pPr>
  </w:style>
  <w:style w:type="paragraph" w:styleId="ListContinue3">
    <w:name w:val="List Continue 3"/>
    <w:basedOn w:val="List3"/>
    <w:rsid w:val="00AC20FA"/>
    <w:pPr>
      <w:ind w:left="1021" w:firstLine="0"/>
    </w:pPr>
  </w:style>
  <w:style w:type="paragraph" w:styleId="ListContinue4">
    <w:name w:val="List Continue 4"/>
    <w:basedOn w:val="List4"/>
    <w:rsid w:val="00AC20FA"/>
    <w:pPr>
      <w:ind w:firstLine="0"/>
    </w:pPr>
  </w:style>
  <w:style w:type="paragraph" w:styleId="ListContinue5">
    <w:name w:val="List Continue 5"/>
    <w:basedOn w:val="List5"/>
    <w:rsid w:val="00AC20FA"/>
    <w:pPr>
      <w:ind w:firstLine="0"/>
    </w:pPr>
  </w:style>
  <w:style w:type="paragraph" w:styleId="ListNumber3">
    <w:name w:val="List Number 3"/>
    <w:basedOn w:val="List3"/>
    <w:rsid w:val="00AC20FA"/>
    <w:pPr>
      <w:numPr>
        <w:numId w:val="4"/>
      </w:numPr>
    </w:pPr>
  </w:style>
  <w:style w:type="paragraph" w:styleId="ListNumber4">
    <w:name w:val="List Number 4"/>
    <w:basedOn w:val="List4"/>
    <w:rsid w:val="00AC20FA"/>
    <w:pPr>
      <w:numPr>
        <w:numId w:val="5"/>
      </w:numPr>
    </w:pPr>
  </w:style>
  <w:style w:type="paragraph" w:styleId="ListNumber5">
    <w:name w:val="List Number 5"/>
    <w:basedOn w:val="List5"/>
    <w:rsid w:val="00AC20FA"/>
    <w:pPr>
      <w:numPr>
        <w:numId w:val="6"/>
      </w:numPr>
    </w:pPr>
  </w:style>
  <w:style w:type="paragraph" w:styleId="BlockText">
    <w:name w:val="Block Text"/>
    <w:basedOn w:val="Normal"/>
    <w:rsid w:val="00AC20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0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0FA"/>
    <w:rPr>
      <w:sz w:val="16"/>
      <w:vertAlign w:val="superscript"/>
    </w:rPr>
  </w:style>
  <w:style w:type="character" w:customStyle="1" w:styleId="Symbols">
    <w:name w:val="Symbols"/>
    <w:basedOn w:val="DefaultParagraphFont"/>
    <w:rsid w:val="00AC20FA"/>
    <w:rPr>
      <w:rFonts w:ascii="Symbol" w:hAnsi="Symbol"/>
    </w:rPr>
  </w:style>
  <w:style w:type="character" w:customStyle="1" w:styleId="MenuOptions">
    <w:name w:val="Menu Options"/>
    <w:basedOn w:val="DefaultParagraphFont"/>
    <w:rsid w:val="00AC20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0FA"/>
    <w:rPr>
      <w:b/>
    </w:rPr>
  </w:style>
  <w:style w:type="character" w:customStyle="1" w:styleId="Underlined">
    <w:name w:val="Underlined"/>
    <w:basedOn w:val="DefaultParagraphFont"/>
    <w:rsid w:val="00AC20FA"/>
    <w:rPr>
      <w:u w:val="single"/>
    </w:rPr>
  </w:style>
  <w:style w:type="paragraph" w:customStyle="1" w:styleId="TableBodyTextRight">
    <w:name w:val="Table Body Text Right"/>
    <w:basedOn w:val="TableBodyText"/>
    <w:rsid w:val="00AC20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0FA"/>
    <w:rPr>
      <w:sz w:val="18"/>
    </w:rPr>
  </w:style>
  <w:style w:type="paragraph" w:customStyle="1" w:styleId="BodySmallRight">
    <w:name w:val="Body Small Right"/>
    <w:basedOn w:val="BodyTextRight"/>
    <w:rsid w:val="00AC20FA"/>
    <w:rPr>
      <w:sz w:val="18"/>
      <w:szCs w:val="18"/>
    </w:rPr>
  </w:style>
  <w:style w:type="paragraph" w:customStyle="1" w:styleId="MarginEdition">
    <w:name w:val="Margin Edition"/>
    <w:basedOn w:val="MarginNote"/>
    <w:rsid w:val="00AC20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0FA"/>
    <w:rPr>
      <w:sz w:val="2"/>
      <w:szCs w:val="2"/>
    </w:rPr>
  </w:style>
  <w:style w:type="character" w:customStyle="1" w:styleId="Small">
    <w:name w:val="Small"/>
    <w:basedOn w:val="DefaultParagraphFont"/>
    <w:rsid w:val="00AC20FA"/>
    <w:rPr>
      <w:sz w:val="16"/>
    </w:rPr>
  </w:style>
  <w:style w:type="paragraph" w:customStyle="1" w:styleId="WideTable">
    <w:name w:val="Wide Table"/>
    <w:basedOn w:val="Normal"/>
    <w:rsid w:val="00AC20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0FA"/>
  </w:style>
  <w:style w:type="paragraph" w:styleId="Quote">
    <w:name w:val="Quote"/>
    <w:basedOn w:val="Heading1"/>
    <w:link w:val="QuoteChar"/>
    <w:qFormat/>
    <w:rsid w:val="00AC20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0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0FA"/>
    <w:pPr>
      <w:pageBreakBefore/>
    </w:pPr>
  </w:style>
  <w:style w:type="paragraph" w:customStyle="1" w:styleId="Border">
    <w:name w:val="Border"/>
    <w:basedOn w:val="Normal"/>
    <w:qFormat/>
    <w:rsid w:val="00AC20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0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0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0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0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0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0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0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0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0FA"/>
    <w:rPr>
      <w:u w:val="single"/>
    </w:rPr>
  </w:style>
  <w:style w:type="character" w:customStyle="1" w:styleId="BoldandItalics">
    <w:name w:val="Bold and Italics"/>
    <w:qFormat/>
    <w:rsid w:val="00AC20FA"/>
    <w:rPr>
      <w:b/>
      <w:i/>
      <w:u w:val="none"/>
    </w:rPr>
  </w:style>
  <w:style w:type="paragraph" w:styleId="BalloonText">
    <w:name w:val="Balloon Text"/>
    <w:basedOn w:val="Normal"/>
    <w:link w:val="BalloonTextChar"/>
    <w:rsid w:val="00AC20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0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0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0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0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0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0F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372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860</Words>
  <Characters>5448</Characters>
  <Application>Microsoft Office Word</Application>
  <DocSecurity>0</DocSecurity>
  <Lines>187</Lines>
  <Paragraphs>108</Paragraphs>
  <ScaleCrop>false</ScaleCrop>
  <Company>Author-it Software Corporation Ltd.</Company>
  <LinksUpToDate>false</LinksUpToDate>
  <CharactersWithSpaces>6200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ICPCBF309 Produce complex folded and glued cartons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2018-12-10T06:32:00Z</dcterms:created>
  <dcterms:modified xsi:type="dcterms:W3CDTF">2018-12-10T06:32:00Z</dcterms:modified>
</cp:coreProperties>
</file>